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0C" w:rsidRDefault="00EA570C" w:rsidP="00BF710B">
      <w:pPr>
        <w:pStyle w:val="Heading1"/>
        <w:jc w:val="center"/>
      </w:pPr>
      <w:bookmarkStart w:id="0" w:name="_GoBack"/>
      <w:bookmarkEnd w:id="0"/>
      <w:r>
        <w:t>The 92</w:t>
      </w:r>
      <w:r w:rsidRPr="00EA570C">
        <w:rPr>
          <w:vertAlign w:val="superscript"/>
        </w:rPr>
        <w:t>nd</w:t>
      </w:r>
      <w:r>
        <w:t xml:space="preserve"> Meeting of the IMO Maritime Safety Committee</w:t>
      </w:r>
    </w:p>
    <w:p w:rsidR="00EA570C" w:rsidRDefault="00EA570C">
      <w:pPr>
        <w:rPr>
          <w:sz w:val="24"/>
          <w:szCs w:val="24"/>
        </w:rPr>
      </w:pPr>
    </w:p>
    <w:p w:rsidR="00D53EF9" w:rsidRPr="00BF5D51" w:rsidRDefault="00AB402D">
      <w:pPr>
        <w:rPr>
          <w:sz w:val="24"/>
          <w:szCs w:val="24"/>
        </w:rPr>
      </w:pPr>
      <w:r w:rsidRPr="00BF5D51">
        <w:rPr>
          <w:sz w:val="24"/>
          <w:szCs w:val="24"/>
        </w:rPr>
        <w:t>The Maritime Safety Committee (MSC) of IMO met at IMO headquarters</w:t>
      </w:r>
      <w:r w:rsidR="00474D6A">
        <w:rPr>
          <w:sz w:val="24"/>
          <w:szCs w:val="24"/>
        </w:rPr>
        <w:t>, London,</w:t>
      </w:r>
      <w:r w:rsidRPr="00BF5D51">
        <w:rPr>
          <w:sz w:val="24"/>
          <w:szCs w:val="24"/>
        </w:rPr>
        <w:t xml:space="preserve"> from the 12</w:t>
      </w:r>
      <w:r w:rsidRPr="00BF5D51">
        <w:rPr>
          <w:sz w:val="24"/>
          <w:szCs w:val="24"/>
          <w:vertAlign w:val="superscript"/>
        </w:rPr>
        <w:t>th</w:t>
      </w:r>
      <w:r w:rsidRPr="00BF5D51">
        <w:rPr>
          <w:sz w:val="24"/>
          <w:szCs w:val="24"/>
        </w:rPr>
        <w:t xml:space="preserve"> to the 21</w:t>
      </w:r>
      <w:r w:rsidRPr="00BF5D51">
        <w:rPr>
          <w:sz w:val="24"/>
          <w:szCs w:val="24"/>
          <w:vertAlign w:val="superscript"/>
        </w:rPr>
        <w:t>st</w:t>
      </w:r>
      <w:r w:rsidRPr="00BF5D51">
        <w:rPr>
          <w:sz w:val="24"/>
          <w:szCs w:val="24"/>
        </w:rPr>
        <w:t xml:space="preserve"> of June 2013</w:t>
      </w:r>
      <w:r w:rsidR="00474D6A">
        <w:rPr>
          <w:sz w:val="24"/>
          <w:szCs w:val="24"/>
        </w:rPr>
        <w:t xml:space="preserve"> (MSC 92)</w:t>
      </w:r>
      <w:r w:rsidRPr="00BF5D51">
        <w:rPr>
          <w:sz w:val="24"/>
          <w:szCs w:val="24"/>
        </w:rPr>
        <w:t xml:space="preserve">. </w:t>
      </w:r>
      <w:r w:rsidR="00965C9B" w:rsidRPr="00BF5D51">
        <w:rPr>
          <w:sz w:val="24"/>
          <w:szCs w:val="24"/>
        </w:rPr>
        <w:t xml:space="preserve">IALA was represented by </w:t>
      </w:r>
      <w:r w:rsidR="00474D6A">
        <w:rPr>
          <w:sz w:val="24"/>
          <w:szCs w:val="24"/>
        </w:rPr>
        <w:t xml:space="preserve">both </w:t>
      </w:r>
      <w:r w:rsidR="00965C9B" w:rsidRPr="00BF5D51">
        <w:rPr>
          <w:sz w:val="24"/>
          <w:szCs w:val="24"/>
        </w:rPr>
        <w:t xml:space="preserve">the Secretary General </w:t>
      </w:r>
      <w:r w:rsidR="00342F80" w:rsidRPr="00BF5D51">
        <w:rPr>
          <w:sz w:val="24"/>
          <w:szCs w:val="24"/>
        </w:rPr>
        <w:t xml:space="preserve">and the Deputy Secretary General </w:t>
      </w:r>
      <w:r w:rsidR="00965C9B" w:rsidRPr="00BF5D51">
        <w:rPr>
          <w:sz w:val="24"/>
          <w:szCs w:val="24"/>
        </w:rPr>
        <w:t xml:space="preserve">for the first </w:t>
      </w:r>
      <w:r w:rsidR="00342F80">
        <w:rPr>
          <w:sz w:val="24"/>
          <w:szCs w:val="24"/>
        </w:rPr>
        <w:t>four</w:t>
      </w:r>
      <w:r w:rsidR="00965C9B" w:rsidRPr="00BF5D51">
        <w:rPr>
          <w:sz w:val="24"/>
          <w:szCs w:val="24"/>
        </w:rPr>
        <w:t xml:space="preserve"> days, and by the Deputy Secretary General for the </w:t>
      </w:r>
      <w:r w:rsidR="00342F80">
        <w:rPr>
          <w:sz w:val="24"/>
          <w:szCs w:val="24"/>
        </w:rPr>
        <w:t>remainder</w:t>
      </w:r>
      <w:r w:rsidR="00965C9B" w:rsidRPr="00BF5D51">
        <w:rPr>
          <w:sz w:val="24"/>
          <w:szCs w:val="24"/>
        </w:rPr>
        <w:t xml:space="preserve"> of the meeting</w:t>
      </w:r>
      <w:r w:rsidR="00342F80">
        <w:rPr>
          <w:sz w:val="24"/>
          <w:szCs w:val="24"/>
        </w:rPr>
        <w:t>.</w:t>
      </w: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 xml:space="preserve">The MSC considered amendments to the International Convention for the Safety of Life at Sea (SOLAS) relating to passenger drills; discussed preliminary recommendations arising from the </w:t>
      </w:r>
      <w:r w:rsidRPr="00BF5D51">
        <w:rPr>
          <w:rFonts w:eastAsia="Times New Roman" w:cs="Times New Roman"/>
          <w:bCs/>
          <w:sz w:val="24"/>
          <w:szCs w:val="24"/>
          <w:lang w:eastAsia="en-GB"/>
        </w:rPr>
        <w:t>Costa Concordia</w:t>
      </w:r>
      <w:r w:rsidRPr="00BF5D51">
        <w:rPr>
          <w:rFonts w:eastAsia="Times New Roman" w:cs="Times New Roman"/>
          <w:sz w:val="24"/>
          <w:szCs w:val="24"/>
          <w:lang w:eastAsia="en-GB"/>
        </w:rPr>
        <w:t xml:space="preserve"> incident; and considered matters related to piracy and armed robbery against ships. </w:t>
      </w:r>
    </w:p>
    <w:p w:rsidR="00AB402D" w:rsidRPr="00BF5D51" w:rsidRDefault="00AB402D" w:rsidP="00AB402D">
      <w:pPr>
        <w:spacing w:after="0" w:line="240" w:lineRule="auto"/>
        <w:rPr>
          <w:rFonts w:eastAsia="Times New Roman" w:cs="Times New Roman"/>
          <w:sz w:val="24"/>
          <w:szCs w:val="24"/>
          <w:lang w:eastAsia="en-GB"/>
        </w:rPr>
      </w:pPr>
    </w:p>
    <w:p w:rsidR="00F36E77" w:rsidRPr="00BF5D51" w:rsidRDefault="00AB402D" w:rsidP="00F36E77">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working group</w:t>
      </w:r>
      <w:r w:rsidR="00CA594C" w:rsidRPr="00BF5D51">
        <w:rPr>
          <w:rFonts w:eastAsia="Times New Roman" w:cs="Times New Roman"/>
          <w:sz w:val="24"/>
          <w:szCs w:val="24"/>
          <w:lang w:eastAsia="en-GB"/>
        </w:rPr>
        <w:t xml:space="preserve"> </w:t>
      </w:r>
      <w:r w:rsidRPr="00BF5D51">
        <w:rPr>
          <w:rFonts w:eastAsia="Times New Roman" w:cs="Times New Roman"/>
          <w:sz w:val="24"/>
          <w:szCs w:val="24"/>
          <w:lang w:eastAsia="en-GB"/>
        </w:rPr>
        <w:t>was established to consider passenger ship safety</w:t>
      </w:r>
      <w:r w:rsidR="00F36E77" w:rsidRPr="00BF5D51">
        <w:rPr>
          <w:rFonts w:eastAsia="Times New Roman" w:cs="Times New Roman"/>
          <w:sz w:val="24"/>
          <w:szCs w:val="24"/>
          <w:lang w:eastAsia="en-GB"/>
        </w:rPr>
        <w:t>, including the action plan drawn up at the last session following the Costa Concordia incident in January 2012</w:t>
      </w:r>
      <w:r w:rsidR="00474D6A" w:rsidRPr="00BF5D51">
        <w:rPr>
          <w:rFonts w:eastAsia="Times New Roman" w:cs="Times New Roman"/>
          <w:sz w:val="24"/>
          <w:szCs w:val="24"/>
          <w:lang w:eastAsia="en-GB"/>
        </w:rPr>
        <w:t>.</w:t>
      </w:r>
      <w:r w:rsidRPr="00BF5D51">
        <w:rPr>
          <w:rFonts w:eastAsia="Times New Roman" w:cs="Times New Roman"/>
          <w:sz w:val="24"/>
          <w:szCs w:val="24"/>
          <w:lang w:eastAsia="en-GB"/>
        </w:rPr>
        <w:t xml:space="preserve"> </w:t>
      </w:r>
      <w:r w:rsidR="00F36E77" w:rsidRPr="00BF5D51">
        <w:rPr>
          <w:rFonts w:eastAsia="Times New Roman" w:cs="Times New Roman"/>
          <w:sz w:val="24"/>
          <w:szCs w:val="24"/>
          <w:lang w:eastAsia="en-GB"/>
        </w:rPr>
        <w:t xml:space="preserve">The MSC had for its consideration the </w:t>
      </w:r>
      <w:r w:rsidR="00474D6A">
        <w:rPr>
          <w:rFonts w:eastAsia="Times New Roman" w:cs="Times New Roman"/>
          <w:sz w:val="24"/>
          <w:szCs w:val="24"/>
          <w:lang w:eastAsia="en-GB"/>
        </w:rPr>
        <w:t xml:space="preserve">report of the </w:t>
      </w:r>
      <w:r w:rsidR="00F36E77" w:rsidRPr="00BF5D51">
        <w:rPr>
          <w:rFonts w:eastAsia="Times New Roman" w:cs="Times New Roman"/>
          <w:sz w:val="24"/>
          <w:szCs w:val="24"/>
          <w:lang w:eastAsia="en-GB"/>
        </w:rPr>
        <w:t xml:space="preserve">Costa Concordia casualty investigation conducted by the Italian authorities with an extensive range of recommendations addressing stability issues, electronic equipment, emergency power generation, evacuation analysis, and search and rescue, in addition to operational and management issues. </w:t>
      </w:r>
    </w:p>
    <w:p w:rsidR="00F36E77" w:rsidRPr="00BF5D51" w:rsidRDefault="00F36E77" w:rsidP="00AB402D">
      <w:pPr>
        <w:spacing w:after="0" w:line="240" w:lineRule="auto"/>
        <w:rPr>
          <w:rFonts w:eastAsia="Times New Roman" w:cs="Times New Roman"/>
          <w:sz w:val="24"/>
          <w:szCs w:val="24"/>
          <w:lang w:eastAsia="en-GB"/>
        </w:rPr>
      </w:pPr>
    </w:p>
    <w:p w:rsidR="00AB402D" w:rsidRPr="00BF5D51" w:rsidRDefault="00AB402D" w:rsidP="00AB402D">
      <w:pPr>
        <w:spacing w:after="0" w:line="240" w:lineRule="auto"/>
        <w:rPr>
          <w:rFonts w:eastAsia="Times New Roman" w:cs="Times New Roman"/>
          <w:sz w:val="24"/>
          <w:szCs w:val="24"/>
          <w:lang w:eastAsia="en-GB"/>
        </w:rPr>
      </w:pPr>
      <w:r w:rsidRPr="00BF5D51">
        <w:rPr>
          <w:rFonts w:eastAsia="Times New Roman" w:cs="Times New Roman"/>
          <w:sz w:val="24"/>
          <w:szCs w:val="24"/>
          <w:lang w:eastAsia="en-GB"/>
        </w:rPr>
        <w:t>A second working group discussed goal-based new ship construction standards, a third looked at the review and reform of the Organisation, and another considered amendments to IMO mandatory codes.</w:t>
      </w:r>
    </w:p>
    <w:p w:rsidR="00965C9B" w:rsidRPr="00BF5D51" w:rsidRDefault="00965C9B" w:rsidP="00AB402D">
      <w:pPr>
        <w:spacing w:after="0" w:line="240" w:lineRule="auto"/>
        <w:rPr>
          <w:rFonts w:eastAsia="Times New Roman" w:cs="Times New Roman"/>
          <w:sz w:val="24"/>
          <w:szCs w:val="24"/>
          <w:lang w:eastAsia="en-GB"/>
        </w:rPr>
      </w:pPr>
    </w:p>
    <w:p w:rsidR="00CA594C" w:rsidRPr="00CA594C" w:rsidRDefault="00BE16FA" w:rsidP="00CA594C">
      <w:pPr>
        <w:autoSpaceDE w:val="0"/>
        <w:autoSpaceDN w:val="0"/>
        <w:adjustRightInd w:val="0"/>
        <w:spacing w:after="0" w:line="240" w:lineRule="auto"/>
        <w:rPr>
          <w:rFonts w:ascii="Arial" w:hAnsi="Arial" w:cs="Arial"/>
          <w:b/>
          <w:color w:val="000000"/>
          <w:sz w:val="24"/>
          <w:szCs w:val="24"/>
        </w:rPr>
      </w:pPr>
      <w:r w:rsidRPr="00BF5D51">
        <w:rPr>
          <w:b/>
          <w:sz w:val="24"/>
          <w:szCs w:val="24"/>
        </w:rPr>
        <w:t>R</w:t>
      </w:r>
      <w:r w:rsidRPr="00CA594C">
        <w:rPr>
          <w:b/>
          <w:sz w:val="24"/>
          <w:szCs w:val="24"/>
        </w:rPr>
        <w:t>eview and reform of the Organization</w:t>
      </w:r>
    </w:p>
    <w:p w:rsidR="00CA594C" w:rsidRPr="00BF5D51" w:rsidRDefault="00CA594C" w:rsidP="00CA594C">
      <w:pPr>
        <w:rPr>
          <w:sz w:val="24"/>
          <w:szCs w:val="24"/>
        </w:rPr>
      </w:pPr>
      <w:r w:rsidRPr="00BF5D51">
        <w:rPr>
          <w:sz w:val="24"/>
          <w:szCs w:val="24"/>
        </w:rPr>
        <w:t>A</w:t>
      </w:r>
      <w:r w:rsidRPr="00CA594C">
        <w:rPr>
          <w:sz w:val="24"/>
          <w:szCs w:val="24"/>
        </w:rPr>
        <w:t>t its 109th session</w:t>
      </w:r>
      <w:r w:rsidRPr="00BF5D51">
        <w:rPr>
          <w:sz w:val="24"/>
          <w:szCs w:val="24"/>
        </w:rPr>
        <w:t xml:space="preserve"> </w:t>
      </w:r>
      <w:r w:rsidRPr="00CA594C">
        <w:rPr>
          <w:sz w:val="24"/>
          <w:szCs w:val="24"/>
        </w:rPr>
        <w:t>th</w:t>
      </w:r>
      <w:r w:rsidRPr="00BF5D51">
        <w:rPr>
          <w:sz w:val="24"/>
          <w:szCs w:val="24"/>
        </w:rPr>
        <w:t xml:space="preserve">e </w:t>
      </w:r>
      <w:r w:rsidR="00474D6A">
        <w:rPr>
          <w:sz w:val="24"/>
          <w:szCs w:val="24"/>
        </w:rPr>
        <w:t xml:space="preserve">IMO </w:t>
      </w:r>
      <w:r w:rsidRPr="00BF5D51">
        <w:rPr>
          <w:sz w:val="24"/>
          <w:szCs w:val="24"/>
        </w:rPr>
        <w:t xml:space="preserve">Council </w:t>
      </w:r>
      <w:r w:rsidRPr="00CA594C">
        <w:rPr>
          <w:sz w:val="24"/>
          <w:szCs w:val="24"/>
        </w:rPr>
        <w:t xml:space="preserve">considered proposals </w:t>
      </w:r>
      <w:r w:rsidRPr="00BF5D51">
        <w:rPr>
          <w:sz w:val="24"/>
          <w:szCs w:val="24"/>
        </w:rPr>
        <w:t xml:space="preserve">from the IMO Secretary General </w:t>
      </w:r>
      <w:r w:rsidRPr="00CA594C">
        <w:rPr>
          <w:sz w:val="24"/>
          <w:szCs w:val="24"/>
        </w:rPr>
        <w:t xml:space="preserve">on the review and reform of the Organization </w:t>
      </w:r>
      <w:r w:rsidRPr="00BF5D51">
        <w:rPr>
          <w:sz w:val="24"/>
          <w:szCs w:val="24"/>
        </w:rPr>
        <w:t>a</w:t>
      </w:r>
      <w:r w:rsidRPr="00CA594C">
        <w:rPr>
          <w:sz w:val="24"/>
          <w:szCs w:val="24"/>
        </w:rPr>
        <w:t xml:space="preserve">nd invited the MSC and </w:t>
      </w:r>
      <w:r w:rsidR="00474D6A">
        <w:rPr>
          <w:sz w:val="24"/>
          <w:szCs w:val="24"/>
        </w:rPr>
        <w:t xml:space="preserve">the </w:t>
      </w:r>
      <w:r w:rsidR="00474D6A" w:rsidRPr="00474D6A">
        <w:rPr>
          <w:sz w:val="24"/>
          <w:szCs w:val="24"/>
        </w:rPr>
        <w:t xml:space="preserve">Marine Environment Protection Committee </w:t>
      </w:r>
      <w:r w:rsidR="00474D6A">
        <w:rPr>
          <w:sz w:val="24"/>
          <w:szCs w:val="24"/>
        </w:rPr>
        <w:t>(</w:t>
      </w:r>
      <w:r w:rsidRPr="00CA594C">
        <w:rPr>
          <w:sz w:val="24"/>
          <w:szCs w:val="24"/>
        </w:rPr>
        <w:t>MEPC</w:t>
      </w:r>
      <w:r w:rsidR="00474D6A">
        <w:rPr>
          <w:sz w:val="24"/>
          <w:szCs w:val="24"/>
        </w:rPr>
        <w:t>)</w:t>
      </w:r>
      <w:r w:rsidRPr="00CA594C">
        <w:rPr>
          <w:sz w:val="24"/>
          <w:szCs w:val="24"/>
        </w:rPr>
        <w:t xml:space="preserve"> to give consideration to the proposed Sub-Committee restructuring</w:t>
      </w:r>
      <w:r w:rsidR="00474D6A">
        <w:rPr>
          <w:sz w:val="24"/>
          <w:szCs w:val="24"/>
        </w:rPr>
        <w:t xml:space="preserve"> </w:t>
      </w:r>
      <w:r w:rsidRPr="00CA594C">
        <w:rPr>
          <w:sz w:val="24"/>
          <w:szCs w:val="24"/>
        </w:rPr>
        <w:t xml:space="preserve">and to report to </w:t>
      </w:r>
      <w:r w:rsidR="00474D6A">
        <w:rPr>
          <w:sz w:val="24"/>
          <w:szCs w:val="24"/>
        </w:rPr>
        <w:t xml:space="preserve">IMO </w:t>
      </w:r>
      <w:r w:rsidRPr="00CA594C">
        <w:rPr>
          <w:sz w:val="24"/>
          <w:szCs w:val="24"/>
        </w:rPr>
        <w:t>C</w:t>
      </w:r>
      <w:r w:rsidR="00474D6A">
        <w:rPr>
          <w:sz w:val="24"/>
          <w:szCs w:val="24"/>
        </w:rPr>
        <w:t>ouncil</w:t>
      </w:r>
      <w:r w:rsidRPr="00CA594C">
        <w:rPr>
          <w:sz w:val="24"/>
          <w:szCs w:val="24"/>
        </w:rPr>
        <w:t xml:space="preserve"> 110. </w:t>
      </w:r>
    </w:p>
    <w:p w:rsidR="00CA594C" w:rsidRPr="00BF5D51" w:rsidRDefault="00CA594C" w:rsidP="00CA594C">
      <w:pPr>
        <w:spacing w:after="0" w:line="240" w:lineRule="auto"/>
        <w:rPr>
          <w:sz w:val="24"/>
          <w:szCs w:val="24"/>
        </w:rPr>
      </w:pPr>
      <w:r w:rsidRPr="00BF5D51">
        <w:rPr>
          <w:sz w:val="24"/>
          <w:szCs w:val="24"/>
        </w:rPr>
        <w:t xml:space="preserve"> At MSC 91, the Committee, following an extensive debate on the matter, requested the Secretariat to prepare a detailed proposal containing proposed names, terms of reference, provisional agendas and biennial agendas, a cost-benefit analysis and meeting dates for each body, for consideration at MEPC 65 and MSC 92. The IMO Secretariat </w:t>
      </w:r>
      <w:r w:rsidR="008F4BDA" w:rsidRPr="00BF5D51">
        <w:rPr>
          <w:sz w:val="24"/>
          <w:szCs w:val="24"/>
        </w:rPr>
        <w:t>submitted to MSC92 a most comprehensive and detailed proposal for consideration by the Committee. IALA members may wish to refer to this document, IMO document MSC92/22, for a complete explanation of the new structure</w:t>
      </w:r>
      <w:r w:rsidR="00474D6A" w:rsidRPr="00474D6A">
        <w:rPr>
          <w:sz w:val="24"/>
          <w:szCs w:val="24"/>
        </w:rPr>
        <w:t xml:space="preserve"> </w:t>
      </w:r>
      <w:r w:rsidR="00E87A80">
        <w:rPr>
          <w:sz w:val="24"/>
          <w:szCs w:val="24"/>
        </w:rPr>
        <w:t xml:space="preserve">which was </w:t>
      </w:r>
      <w:r w:rsidR="00474D6A" w:rsidRPr="00BF5D51">
        <w:rPr>
          <w:sz w:val="24"/>
          <w:szCs w:val="24"/>
        </w:rPr>
        <w:t>proposed</w:t>
      </w:r>
      <w:r w:rsidR="00474D6A">
        <w:rPr>
          <w:sz w:val="24"/>
          <w:szCs w:val="24"/>
        </w:rPr>
        <w:t xml:space="preserve"> by the IMO Secretariat</w:t>
      </w:r>
      <w:r w:rsidR="008F4BDA" w:rsidRPr="00BF5D51">
        <w:rPr>
          <w:sz w:val="24"/>
          <w:szCs w:val="24"/>
        </w:rPr>
        <w:t>.</w:t>
      </w:r>
    </w:p>
    <w:p w:rsidR="00854501" w:rsidRPr="00BF5D51" w:rsidRDefault="00854501" w:rsidP="00AB402D">
      <w:pPr>
        <w:spacing w:after="0" w:line="240" w:lineRule="auto"/>
        <w:rPr>
          <w:sz w:val="24"/>
          <w:szCs w:val="24"/>
        </w:rPr>
      </w:pPr>
    </w:p>
    <w:p w:rsidR="00854501" w:rsidRPr="00854501" w:rsidRDefault="005C6DE4" w:rsidP="00854501">
      <w:pPr>
        <w:autoSpaceDE w:val="0"/>
        <w:autoSpaceDN w:val="0"/>
        <w:adjustRightInd w:val="0"/>
        <w:spacing w:after="31" w:line="240" w:lineRule="auto"/>
        <w:rPr>
          <w:sz w:val="24"/>
          <w:szCs w:val="24"/>
        </w:rPr>
      </w:pPr>
      <w:r w:rsidRPr="00BF5D51">
        <w:rPr>
          <w:sz w:val="24"/>
          <w:szCs w:val="24"/>
        </w:rPr>
        <w:t xml:space="preserve">In discussion during the </w:t>
      </w:r>
      <w:r w:rsidR="00474D6A">
        <w:rPr>
          <w:sz w:val="24"/>
          <w:szCs w:val="24"/>
        </w:rPr>
        <w:t xml:space="preserve">MSC 92 </w:t>
      </w:r>
      <w:r w:rsidRPr="00BF5D51">
        <w:rPr>
          <w:sz w:val="24"/>
          <w:szCs w:val="24"/>
        </w:rPr>
        <w:t>meeting, t</w:t>
      </w:r>
      <w:r w:rsidR="00854501" w:rsidRPr="00854501">
        <w:rPr>
          <w:sz w:val="24"/>
          <w:szCs w:val="24"/>
        </w:rPr>
        <w:t>here was general support in principle for the proposals, subject to detailed consideration in the Working Group</w:t>
      </w:r>
      <w:r w:rsidRPr="00BF5D51">
        <w:rPr>
          <w:sz w:val="24"/>
          <w:szCs w:val="24"/>
        </w:rPr>
        <w:t>. The following points were made by many delegations.</w:t>
      </w:r>
      <w:r w:rsidR="00854501" w:rsidRPr="00854501">
        <w:rPr>
          <w:sz w:val="24"/>
          <w:szCs w:val="24"/>
        </w:rPr>
        <w:t xml:space="preserve"> </w:t>
      </w:r>
    </w:p>
    <w:p w:rsidR="00854501" w:rsidRPr="00BF5D51" w:rsidRDefault="00854501" w:rsidP="005C6DE4">
      <w:pPr>
        <w:pStyle w:val="ListParagraph"/>
        <w:numPr>
          <w:ilvl w:val="0"/>
          <w:numId w:val="1"/>
        </w:numPr>
        <w:autoSpaceDE w:val="0"/>
        <w:autoSpaceDN w:val="0"/>
        <w:adjustRightInd w:val="0"/>
        <w:spacing w:after="31" w:line="240" w:lineRule="auto"/>
        <w:rPr>
          <w:sz w:val="24"/>
          <w:szCs w:val="24"/>
        </w:rPr>
      </w:pPr>
      <w:r w:rsidRPr="00BF5D51">
        <w:rPr>
          <w:sz w:val="24"/>
          <w:szCs w:val="24"/>
        </w:rPr>
        <w:t xml:space="preserve">Proper transition should be taken care of by stricter prioritization and not by increasing the number of intersessional groups, working groups, drafting groups or correspondence groups since that would adversely affect small delegations and raise the costs for Member States; </w:t>
      </w:r>
    </w:p>
    <w:p w:rsidR="00854501" w:rsidRPr="00BF5D51" w:rsidRDefault="00854501" w:rsidP="005C6DE4">
      <w:pPr>
        <w:pStyle w:val="ListParagraph"/>
        <w:numPr>
          <w:ilvl w:val="0"/>
          <w:numId w:val="1"/>
        </w:numPr>
        <w:autoSpaceDE w:val="0"/>
        <w:autoSpaceDN w:val="0"/>
        <w:adjustRightInd w:val="0"/>
        <w:spacing w:after="0" w:line="240" w:lineRule="auto"/>
        <w:rPr>
          <w:sz w:val="24"/>
          <w:szCs w:val="24"/>
        </w:rPr>
      </w:pPr>
      <w:r w:rsidRPr="00BF5D51">
        <w:rPr>
          <w:sz w:val="24"/>
          <w:szCs w:val="24"/>
        </w:rPr>
        <w:lastRenderedPageBreak/>
        <w:t xml:space="preserve">Emphasis </w:t>
      </w:r>
      <w:r w:rsidR="005C6DE4" w:rsidRPr="00BF5D51">
        <w:rPr>
          <w:sz w:val="24"/>
          <w:szCs w:val="24"/>
        </w:rPr>
        <w:t>should be</w:t>
      </w:r>
      <w:r w:rsidRPr="00BF5D51">
        <w:rPr>
          <w:sz w:val="24"/>
          <w:szCs w:val="24"/>
        </w:rPr>
        <w:t xml:space="preserve"> put on strict prioritization and cost reduction, through adapting meeting sequence and duration to accommodate the work load of all bodies a</w:t>
      </w:r>
      <w:r w:rsidR="005C6DE4" w:rsidRPr="00BF5D51">
        <w:rPr>
          <w:sz w:val="24"/>
          <w:szCs w:val="24"/>
        </w:rPr>
        <w:t>nd not just the sub-committees</w:t>
      </w:r>
    </w:p>
    <w:p w:rsidR="00BF5D51" w:rsidRDefault="00BF5D51" w:rsidP="00BF5D51">
      <w:pPr>
        <w:autoSpaceDE w:val="0"/>
        <w:autoSpaceDN w:val="0"/>
        <w:adjustRightInd w:val="0"/>
        <w:spacing w:after="0" w:line="240" w:lineRule="auto"/>
        <w:rPr>
          <w:sz w:val="24"/>
          <w:szCs w:val="24"/>
        </w:rPr>
      </w:pPr>
    </w:p>
    <w:p w:rsidR="00625BCB" w:rsidRDefault="00625BCB" w:rsidP="00625BCB">
      <w:pPr>
        <w:autoSpaceDE w:val="0"/>
        <w:autoSpaceDN w:val="0"/>
        <w:adjustRightInd w:val="0"/>
        <w:spacing w:after="0" w:line="240" w:lineRule="auto"/>
        <w:rPr>
          <w:sz w:val="24"/>
          <w:szCs w:val="24"/>
        </w:rPr>
      </w:pPr>
      <w:r>
        <w:rPr>
          <w:sz w:val="24"/>
          <w:szCs w:val="24"/>
        </w:rPr>
        <w:t xml:space="preserve">The Sub-Committees in the new MSC structure, </w:t>
      </w:r>
      <w:r w:rsidRPr="00625BCB">
        <w:rPr>
          <w:sz w:val="24"/>
          <w:szCs w:val="24"/>
        </w:rPr>
        <w:t>starting from</w:t>
      </w:r>
      <w:r>
        <w:rPr>
          <w:sz w:val="24"/>
          <w:szCs w:val="24"/>
        </w:rPr>
        <w:t xml:space="preserve"> </w:t>
      </w:r>
      <w:r w:rsidRPr="00625BCB">
        <w:rPr>
          <w:sz w:val="24"/>
          <w:szCs w:val="24"/>
        </w:rPr>
        <w:t>the 2014-2015 biennium</w:t>
      </w:r>
      <w:r>
        <w:rPr>
          <w:sz w:val="24"/>
          <w:szCs w:val="24"/>
        </w:rPr>
        <w:t>,</w:t>
      </w:r>
      <w:r>
        <w:rPr>
          <w:rFonts w:ascii="ArialMT" w:hAnsi="ArialMT" w:cs="ArialMT"/>
        </w:rPr>
        <w:t xml:space="preserve"> </w:t>
      </w:r>
      <w:r>
        <w:rPr>
          <w:sz w:val="24"/>
          <w:szCs w:val="24"/>
        </w:rPr>
        <w:t>are:-</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Carriage </w:t>
      </w:r>
      <w:r>
        <w:rPr>
          <w:sz w:val="24"/>
          <w:szCs w:val="24"/>
        </w:rPr>
        <w:t>of Cargoes and Containers (CCC)</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 xml:space="preserve">Sub-Committee on Human Element, </w:t>
      </w:r>
      <w:r>
        <w:rPr>
          <w:sz w:val="24"/>
          <w:szCs w:val="24"/>
        </w:rPr>
        <w:t xml:space="preserve">Training and </w:t>
      </w:r>
      <w:proofErr w:type="spellStart"/>
      <w:r>
        <w:rPr>
          <w:sz w:val="24"/>
          <w:szCs w:val="24"/>
        </w:rPr>
        <w:t>Watchkeeping</w:t>
      </w:r>
      <w:proofErr w:type="spellEnd"/>
      <w:r>
        <w:rPr>
          <w:sz w:val="24"/>
          <w:szCs w:val="24"/>
        </w:rPr>
        <w:t xml:space="preserve"> (HTW)</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Implemen</w:t>
      </w:r>
      <w:r>
        <w:rPr>
          <w:sz w:val="24"/>
          <w:szCs w:val="24"/>
        </w:rPr>
        <w:t>tation of IMO Instruments (III)</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Navigation, Communications and Search and Rescue</w:t>
      </w:r>
      <w:r>
        <w:rPr>
          <w:sz w:val="24"/>
          <w:szCs w:val="24"/>
        </w:rPr>
        <w:t xml:space="preserve"> (NCSR)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Pollutio</w:t>
      </w:r>
      <w:r>
        <w:rPr>
          <w:sz w:val="24"/>
          <w:szCs w:val="24"/>
        </w:rPr>
        <w:t>n Prevention and Response (PPR)</w:t>
      </w:r>
    </w:p>
    <w:p w:rsidR="00625BCB" w:rsidRPr="008A4573"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w:t>
      </w:r>
      <w:r>
        <w:rPr>
          <w:sz w:val="24"/>
          <w:szCs w:val="24"/>
        </w:rPr>
        <w:t>p Design and Construction (SDC),</w:t>
      </w:r>
      <w:r w:rsidRPr="008A4573">
        <w:rPr>
          <w:sz w:val="24"/>
          <w:szCs w:val="24"/>
        </w:rPr>
        <w:t xml:space="preserve"> and</w:t>
      </w:r>
    </w:p>
    <w:p w:rsidR="00625BCB" w:rsidRDefault="00625BCB" w:rsidP="00625BCB">
      <w:pPr>
        <w:pStyle w:val="ListParagraph"/>
        <w:numPr>
          <w:ilvl w:val="0"/>
          <w:numId w:val="4"/>
        </w:numPr>
        <w:autoSpaceDE w:val="0"/>
        <w:autoSpaceDN w:val="0"/>
        <w:adjustRightInd w:val="0"/>
        <w:spacing w:after="0" w:line="240" w:lineRule="auto"/>
        <w:rPr>
          <w:sz w:val="24"/>
          <w:szCs w:val="24"/>
        </w:rPr>
      </w:pPr>
      <w:r w:rsidRPr="008A4573">
        <w:rPr>
          <w:sz w:val="24"/>
          <w:szCs w:val="24"/>
        </w:rPr>
        <w:t>Sub-Committee on Ship Systems and Equipment (SSE).</w:t>
      </w:r>
    </w:p>
    <w:p w:rsidR="00625BCB" w:rsidRPr="008A4573" w:rsidRDefault="00625BCB" w:rsidP="00625BCB">
      <w:pPr>
        <w:autoSpaceDE w:val="0"/>
        <w:autoSpaceDN w:val="0"/>
        <w:adjustRightInd w:val="0"/>
        <w:spacing w:after="0" w:line="240" w:lineRule="auto"/>
        <w:rPr>
          <w:sz w:val="24"/>
          <w:szCs w:val="24"/>
        </w:rPr>
      </w:pPr>
    </w:p>
    <w:p w:rsidR="008B391B" w:rsidRDefault="00625BCB" w:rsidP="00E87A80">
      <w:pPr>
        <w:spacing w:after="0" w:line="240" w:lineRule="auto"/>
        <w:rPr>
          <w:sz w:val="24"/>
          <w:szCs w:val="24"/>
        </w:rPr>
      </w:pPr>
      <w:r>
        <w:rPr>
          <w:rFonts w:eastAsia="Times New Roman" w:cs="Times New Roman"/>
          <w:sz w:val="24"/>
          <w:szCs w:val="24"/>
          <w:lang w:eastAsia="en-GB"/>
        </w:rPr>
        <w:t>O</w:t>
      </w:r>
      <w:r w:rsidR="00E87A80" w:rsidRPr="00BF5D51">
        <w:rPr>
          <w:rFonts w:eastAsia="Times New Roman" w:cs="Times New Roman"/>
          <w:sz w:val="24"/>
          <w:szCs w:val="24"/>
          <w:lang w:eastAsia="en-GB"/>
        </w:rPr>
        <w:t xml:space="preserve">f importance to IALA </w:t>
      </w:r>
      <w:r w:rsidR="00E87A80">
        <w:rPr>
          <w:rFonts w:eastAsia="Times New Roman" w:cs="Times New Roman"/>
          <w:sz w:val="24"/>
          <w:szCs w:val="24"/>
          <w:lang w:eastAsia="en-GB"/>
        </w:rPr>
        <w:t xml:space="preserve">will be the merging of the present “NAV” and “COMSAR” Sub-Committees, to become </w:t>
      </w:r>
      <w:r w:rsidR="00340FE0">
        <w:rPr>
          <w:sz w:val="24"/>
          <w:szCs w:val="24"/>
        </w:rPr>
        <w:t xml:space="preserve">the new Sub-Committee on Navigation, Communications, Search and Rescue (NCSR). </w:t>
      </w:r>
      <w:r w:rsidR="008B391B">
        <w:rPr>
          <w:sz w:val="24"/>
          <w:szCs w:val="24"/>
        </w:rPr>
        <w:t>The Correspondence Groups and Working Groups which will report to NCSR are as follows.</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Correspondence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CG1 – Review of the GMDSS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CG2 – e-Navigation</w:t>
      </w:r>
    </w:p>
    <w:p w:rsidR="008B391B" w:rsidRDefault="008B391B" w:rsidP="008B391B">
      <w:pPr>
        <w:pStyle w:val="ListParagraph"/>
        <w:numPr>
          <w:ilvl w:val="0"/>
          <w:numId w:val="4"/>
        </w:numPr>
        <w:autoSpaceDE w:val="0"/>
        <w:autoSpaceDN w:val="0"/>
        <w:adjustRightInd w:val="0"/>
        <w:spacing w:after="0" w:line="240" w:lineRule="auto"/>
        <w:rPr>
          <w:sz w:val="24"/>
          <w:szCs w:val="24"/>
        </w:rPr>
      </w:pPr>
      <w:r>
        <w:rPr>
          <w:sz w:val="24"/>
          <w:szCs w:val="24"/>
        </w:rPr>
        <w:t>Working Groups</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WG1 – Search and Rescue</w:t>
      </w:r>
    </w:p>
    <w:p w:rsid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WG2 – Ships’ Routeing</w:t>
      </w:r>
    </w:p>
    <w:p w:rsidR="008B391B" w:rsidRPr="008B391B" w:rsidRDefault="008B391B" w:rsidP="008B391B">
      <w:pPr>
        <w:pStyle w:val="ListParagraph"/>
        <w:numPr>
          <w:ilvl w:val="1"/>
          <w:numId w:val="4"/>
        </w:numPr>
        <w:autoSpaceDE w:val="0"/>
        <w:autoSpaceDN w:val="0"/>
        <w:adjustRightInd w:val="0"/>
        <w:spacing w:after="0" w:line="240" w:lineRule="auto"/>
        <w:rPr>
          <w:sz w:val="24"/>
          <w:szCs w:val="24"/>
        </w:rPr>
      </w:pPr>
      <w:r>
        <w:rPr>
          <w:sz w:val="24"/>
          <w:szCs w:val="24"/>
        </w:rPr>
        <w:t>WG3 – Technical Matters</w:t>
      </w:r>
    </w:p>
    <w:p w:rsidR="008B391B" w:rsidRPr="00BF5D51" w:rsidRDefault="008B391B" w:rsidP="00BF5D51">
      <w:pPr>
        <w:autoSpaceDE w:val="0"/>
        <w:autoSpaceDN w:val="0"/>
        <w:adjustRightInd w:val="0"/>
        <w:spacing w:after="0" w:line="240" w:lineRule="auto"/>
        <w:rPr>
          <w:sz w:val="24"/>
          <w:szCs w:val="24"/>
        </w:rPr>
      </w:pPr>
    </w:p>
    <w:p w:rsidR="00D14446" w:rsidRPr="00B41DE2" w:rsidRDefault="00D14446" w:rsidP="00D14446">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 xml:space="preserve">Adoption of other amendments </w:t>
      </w:r>
      <w:r w:rsidRPr="00B41DE2">
        <w:rPr>
          <w:rFonts w:eastAsia="Times New Roman" w:cs="Times New Roman"/>
          <w:sz w:val="24"/>
          <w:szCs w:val="24"/>
          <w:lang w:eastAsia="en-GB"/>
        </w:rPr>
        <w:br/>
        <w:t xml:space="preserve">The MSC also </w:t>
      </w:r>
      <w:r>
        <w:rPr>
          <w:rFonts w:eastAsia="Times New Roman" w:cs="Times New Roman"/>
          <w:sz w:val="24"/>
          <w:szCs w:val="24"/>
          <w:lang w:eastAsia="en-GB"/>
        </w:rPr>
        <w:t>considered</w:t>
      </w:r>
      <w:r w:rsidRPr="00B41DE2">
        <w:rPr>
          <w:rFonts w:eastAsia="Times New Roman" w:cs="Times New Roman"/>
          <w:sz w:val="24"/>
          <w:szCs w:val="24"/>
          <w:lang w:eastAsia="en-GB"/>
        </w:rPr>
        <w:t xml:space="preserve"> for adoption:</w:t>
      </w:r>
    </w:p>
    <w:p w:rsidR="00D14446" w:rsidRPr="00D14446" w:rsidRDefault="00D14446" w:rsidP="00D14446">
      <w:pPr>
        <w:pStyle w:val="ListParagraph"/>
        <w:numPr>
          <w:ilvl w:val="0"/>
          <w:numId w:val="2"/>
        </w:numPr>
        <w:spacing w:after="0" w:line="240" w:lineRule="auto"/>
        <w:rPr>
          <w:sz w:val="24"/>
          <w:szCs w:val="24"/>
        </w:rPr>
      </w:pPr>
      <w:r w:rsidRPr="00D14446">
        <w:rPr>
          <w:sz w:val="24"/>
          <w:szCs w:val="24"/>
        </w:rPr>
        <w:t>Draft amendments to the Protocol of 1988 relating to the International Convention on Load Lines, 1966 (1988 Load Lines Protocol) to make the RO Code mandatory;</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 xml:space="preserve">Draft amendments to the International Convention for Safe Containers (CSC), 1972, to incorporate amendments to the CSC Convention adopted in 1993 by resolution A.737(18), which have not yet entered into force, including amendments relating to the safety approval plate and to the approval of existing and new containers; </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Management Code for the Safe Operation of Ships and for Pollution Prevention (International Safety Management (ISM) Code), including a new requirement for the  Company to  ensure that the ship is appropriately manned;</w:t>
      </w:r>
    </w:p>
    <w:p w:rsidR="00D14446" w:rsidRPr="00D14446" w:rsidRDefault="00D14446" w:rsidP="00D14446">
      <w:pPr>
        <w:pStyle w:val="ListParagraph"/>
        <w:numPr>
          <w:ilvl w:val="0"/>
          <w:numId w:val="1"/>
        </w:numPr>
        <w:autoSpaceDE w:val="0"/>
        <w:autoSpaceDN w:val="0"/>
        <w:adjustRightInd w:val="0"/>
        <w:spacing w:after="31" w:line="240" w:lineRule="auto"/>
        <w:rPr>
          <w:sz w:val="24"/>
          <w:szCs w:val="24"/>
        </w:rPr>
      </w:pPr>
      <w:r w:rsidRPr="00D14446">
        <w:rPr>
          <w:sz w:val="24"/>
          <w:szCs w:val="24"/>
        </w:rPr>
        <w:t>Draft amendments to the International Maritime Solid Bulk Cargoes Code (IMSBC Code)</w:t>
      </w:r>
      <w:proofErr w:type="gramStart"/>
      <w:r w:rsidRPr="00D14446">
        <w:rPr>
          <w:sz w:val="24"/>
          <w:szCs w:val="24"/>
        </w:rPr>
        <w:t>  (</w:t>
      </w:r>
      <w:proofErr w:type="gramEnd"/>
      <w:r w:rsidRPr="00D14446">
        <w:rPr>
          <w:sz w:val="24"/>
          <w:szCs w:val="24"/>
        </w:rPr>
        <w:t xml:space="preserve">amendment 02-13)), including a new  nickel ore schedule.  </w:t>
      </w:r>
    </w:p>
    <w:p w:rsidR="00BF5D51" w:rsidRDefault="00BF5D51" w:rsidP="00BF5D51">
      <w:pPr>
        <w:autoSpaceDE w:val="0"/>
        <w:autoSpaceDN w:val="0"/>
        <w:adjustRightInd w:val="0"/>
        <w:spacing w:after="0" w:line="240" w:lineRule="auto"/>
      </w:pPr>
    </w:p>
    <w:p w:rsidR="00BF5D51" w:rsidRPr="002C3C79" w:rsidRDefault="002C3C79" w:rsidP="00BF5D51">
      <w:pPr>
        <w:autoSpaceDE w:val="0"/>
        <w:autoSpaceDN w:val="0"/>
        <w:adjustRightInd w:val="0"/>
        <w:spacing w:after="0" w:line="240" w:lineRule="auto"/>
        <w:rPr>
          <w:b/>
          <w:sz w:val="24"/>
          <w:szCs w:val="24"/>
        </w:rPr>
      </w:pPr>
      <w:r w:rsidRPr="002C3C79">
        <w:rPr>
          <w:b/>
          <w:sz w:val="24"/>
          <w:szCs w:val="24"/>
        </w:rPr>
        <w:t>Radiocommunications and Search and Rescue</w:t>
      </w:r>
      <w:r w:rsidR="00466629">
        <w:rPr>
          <w:b/>
          <w:sz w:val="24"/>
          <w:szCs w:val="24"/>
        </w:rPr>
        <w:t xml:space="preserve"> Matters</w:t>
      </w:r>
    </w:p>
    <w:p w:rsidR="002C3C79" w:rsidRDefault="002C3C79" w:rsidP="002C3C79">
      <w:pPr>
        <w:autoSpaceDE w:val="0"/>
        <w:autoSpaceDN w:val="0"/>
        <w:adjustRightInd w:val="0"/>
        <w:spacing w:after="0" w:line="240" w:lineRule="auto"/>
      </w:pPr>
      <w:r>
        <w:t xml:space="preserve">The report of the Sub Committee on </w:t>
      </w:r>
      <w:r w:rsidRPr="002C3C79">
        <w:t>Radiocommunications and Search and Rescue</w:t>
      </w:r>
      <w:r>
        <w:t xml:space="preserve"> (COMSAR 17) was considered and the sixteen recommendations in that report were agreed by the Committee. </w:t>
      </w:r>
    </w:p>
    <w:p w:rsidR="002C3C79" w:rsidRDefault="002C3C79" w:rsidP="002C3C79">
      <w:pPr>
        <w:autoSpaceDE w:val="0"/>
        <w:autoSpaceDN w:val="0"/>
        <w:adjustRightInd w:val="0"/>
        <w:spacing w:after="0" w:line="240" w:lineRule="auto"/>
      </w:pPr>
    </w:p>
    <w:p w:rsidR="002C3C79" w:rsidRDefault="002C3C79" w:rsidP="002C3C79">
      <w:pPr>
        <w:autoSpaceDE w:val="0"/>
        <w:autoSpaceDN w:val="0"/>
        <w:adjustRightInd w:val="0"/>
        <w:spacing w:after="0" w:line="240" w:lineRule="auto"/>
      </w:pPr>
      <w:r>
        <w:t xml:space="preserve">The first of these was most significant as it was to </w:t>
      </w:r>
      <w:r w:rsidRPr="002C3C79">
        <w:t>endorse the action taken by the Sub-Committee to re-establish the Correspondence Group on the Review of the GMDSS under the coo</w:t>
      </w:r>
      <w:r>
        <w:t>rdination of the United States.</w:t>
      </w:r>
      <w:r w:rsidR="004030AF">
        <w:t xml:space="preserve"> We can expect that this work will go ahead within the new </w:t>
      </w:r>
      <w:r w:rsidR="00733137" w:rsidRPr="004030AF">
        <w:t>NCSR</w:t>
      </w:r>
      <w:r w:rsidR="00733137">
        <w:t xml:space="preserve"> </w:t>
      </w:r>
      <w:r w:rsidR="004030AF" w:rsidRPr="004030AF">
        <w:t>Sub-Committee</w:t>
      </w:r>
      <w:r w:rsidR="004030AF">
        <w:t>.</w:t>
      </w:r>
    </w:p>
    <w:p w:rsidR="004030AF" w:rsidRDefault="004030AF" w:rsidP="002C3C79">
      <w:pPr>
        <w:autoSpaceDE w:val="0"/>
        <w:autoSpaceDN w:val="0"/>
        <w:adjustRightInd w:val="0"/>
        <w:spacing w:after="0" w:line="240" w:lineRule="auto"/>
      </w:pPr>
    </w:p>
    <w:p w:rsidR="004030AF" w:rsidRDefault="004030AF" w:rsidP="00BA48B6">
      <w:pPr>
        <w:autoSpaceDE w:val="0"/>
        <w:autoSpaceDN w:val="0"/>
        <w:adjustRightInd w:val="0"/>
        <w:spacing w:after="0" w:line="240" w:lineRule="auto"/>
      </w:pPr>
      <w:r>
        <w:t xml:space="preserve">The Committee also approved the draft SN.1 circular providing information to seafarers on the display of AIS </w:t>
      </w:r>
      <w:proofErr w:type="gramStart"/>
      <w:r>
        <w:t>SART,</w:t>
      </w:r>
      <w:proofErr w:type="gramEnd"/>
      <w:r>
        <w:t xml:space="preserve"> AIS man Overboard (MOB) and EPIRB-AIS devices</w:t>
      </w:r>
      <w:r w:rsidR="00BA48B6">
        <w:t>. COMSAR had recommended in Annex 8 of the report of its 17</w:t>
      </w:r>
      <w:r w:rsidR="00BA48B6" w:rsidRPr="00BA48B6">
        <w:t>th</w:t>
      </w:r>
      <w:r w:rsidR="00BA48B6">
        <w:t xml:space="preserve"> meeting, that </w:t>
      </w:r>
      <w:r w:rsidR="00BA48B6" w:rsidRPr="00BA48B6">
        <w:t xml:space="preserve">the AIS-SART may be indicated on a newer graphical display of AIS by a circle with an "X" inside it. Alternatively, the AIS-SART may be indicated on an older graphical display of AIS as a normal (sleeping) </w:t>
      </w:r>
      <w:r w:rsidR="00BA48B6">
        <w:t xml:space="preserve">AIS target (isosceles triangle). The draft SN.1 circular also proposed that </w:t>
      </w:r>
      <w:r w:rsidR="00BA48B6" w:rsidRPr="00BA48B6">
        <w:t>AIS man Overboard (MOB) and EPIRB-AIS devices</w:t>
      </w:r>
      <w:r w:rsidR="00BA48B6">
        <w:t xml:space="preserve"> should be indicated by the same symbols. When the new circular is issued it will provide guidance to mariners on the symbols they are likely to see on bridge displays when one of these SAR devices is active and in range.</w:t>
      </w:r>
    </w:p>
    <w:p w:rsidR="00466629" w:rsidRDefault="00466629" w:rsidP="00BA48B6">
      <w:pPr>
        <w:autoSpaceDE w:val="0"/>
        <w:autoSpaceDN w:val="0"/>
        <w:adjustRightInd w:val="0"/>
        <w:spacing w:after="0" w:line="240" w:lineRule="auto"/>
      </w:pPr>
    </w:p>
    <w:p w:rsidR="00466629" w:rsidRDefault="00466629" w:rsidP="00BA48B6">
      <w:pPr>
        <w:autoSpaceDE w:val="0"/>
        <w:autoSpaceDN w:val="0"/>
        <w:adjustRightInd w:val="0"/>
        <w:spacing w:after="0" w:line="240" w:lineRule="auto"/>
      </w:pPr>
      <w:r>
        <w:t>Revision of MSC.1/Circ.1287 related to promulgation of Maritime Safety Information</w:t>
      </w:r>
      <w:r w:rsidR="008A0D90">
        <w:t>, proposed by COMSAR, was approved by the Committee.</w:t>
      </w:r>
      <w:r w:rsidR="006834C5">
        <w:t xml:space="preserve"> Details may be found in Annex 2 of the report of COMSAR 17.</w:t>
      </w:r>
      <w:r w:rsidR="00BC49E8">
        <w:t xml:space="preserve"> Similarly the Committee approved dissemination of a revised MSC.1/Circ.1288 on the World-Wide Navigational Warning Service.</w:t>
      </w:r>
    </w:p>
    <w:p w:rsidR="00342F80" w:rsidRDefault="00342F80" w:rsidP="00BA48B6">
      <w:pPr>
        <w:autoSpaceDE w:val="0"/>
        <w:autoSpaceDN w:val="0"/>
        <w:adjustRightInd w:val="0"/>
        <w:spacing w:after="0" w:line="240" w:lineRule="auto"/>
      </w:pPr>
    </w:p>
    <w:p w:rsidR="00342F80" w:rsidRDefault="00342F80" w:rsidP="00BA48B6">
      <w:pPr>
        <w:autoSpaceDE w:val="0"/>
        <w:autoSpaceDN w:val="0"/>
        <w:adjustRightInd w:val="0"/>
        <w:spacing w:after="0" w:line="240" w:lineRule="auto"/>
      </w:pPr>
      <w:r>
        <w:t>A proposal by the USA was for the start of a process which might lead to the acceptance of the Iridium satellite system as a service provider for GMDSS</w:t>
      </w:r>
      <w:r w:rsidR="00C46D2F">
        <w:t xml:space="preserve">. This was agreed by the Committee, with a number of states noting that the Iridium constellation provides coverage in </w:t>
      </w:r>
      <w:proofErr w:type="gramStart"/>
      <w:r w:rsidR="00C46D2F">
        <w:t>polar regions</w:t>
      </w:r>
      <w:proofErr w:type="gramEnd"/>
      <w:r w:rsidR="00C46D2F">
        <w:t>, which are partly or wholly classified as Sea Area 4 within the GMDSS scheme.</w:t>
      </w:r>
      <w:r w:rsidR="003B64B5">
        <w:t xml:space="preserve"> This will become </w:t>
      </w:r>
      <w:proofErr w:type="gramStart"/>
      <w:r w:rsidR="003B64B5">
        <w:t>a</w:t>
      </w:r>
      <w:r w:rsidR="00733137">
        <w:t xml:space="preserve">nother </w:t>
      </w:r>
      <w:r w:rsidR="003B64B5">
        <w:t xml:space="preserve"> task</w:t>
      </w:r>
      <w:proofErr w:type="gramEnd"/>
      <w:r w:rsidR="003B64B5">
        <w:t xml:space="preserve"> for the new NCSR Sub-Committee.</w:t>
      </w:r>
    </w:p>
    <w:p w:rsidR="00BC49E8" w:rsidRDefault="00BC49E8" w:rsidP="00BA48B6">
      <w:pPr>
        <w:autoSpaceDE w:val="0"/>
        <w:autoSpaceDN w:val="0"/>
        <w:adjustRightInd w:val="0"/>
        <w:spacing w:after="0" w:line="240" w:lineRule="auto"/>
      </w:pPr>
    </w:p>
    <w:p w:rsidR="00BA48B6" w:rsidRDefault="00BC49E8" w:rsidP="00BA48B6">
      <w:pPr>
        <w:autoSpaceDE w:val="0"/>
        <w:autoSpaceDN w:val="0"/>
        <w:adjustRightInd w:val="0"/>
        <w:spacing w:after="0" w:line="240" w:lineRule="auto"/>
      </w:pPr>
      <w:r>
        <w:t xml:space="preserve">Other </w:t>
      </w:r>
      <w:r w:rsidR="00972748">
        <w:t>decisions by the Committee included consideration of radiocommunications equipment carried on ships, meetings of joint experts group IMO/ITU</w:t>
      </w:r>
      <w:r>
        <w:t xml:space="preserve"> </w:t>
      </w:r>
      <w:r w:rsidR="00972748">
        <w:t>and working group ICAO/IMO, auditing of LRIT data centres and of the LRIT International Data Exchange.</w:t>
      </w:r>
    </w:p>
    <w:p w:rsidR="002C3C79" w:rsidRDefault="002C3C79" w:rsidP="002C3C79">
      <w:pPr>
        <w:autoSpaceDE w:val="0"/>
        <w:autoSpaceDN w:val="0"/>
        <w:adjustRightInd w:val="0"/>
        <w:spacing w:after="0" w:line="240" w:lineRule="auto"/>
      </w:pPr>
    </w:p>
    <w:p w:rsidR="002C3C79" w:rsidRPr="00CF52D2" w:rsidRDefault="00DA3746" w:rsidP="002C3C79">
      <w:pPr>
        <w:autoSpaceDE w:val="0"/>
        <w:autoSpaceDN w:val="0"/>
        <w:adjustRightInd w:val="0"/>
        <w:spacing w:after="0" w:line="240" w:lineRule="auto"/>
        <w:rPr>
          <w:b/>
          <w:sz w:val="24"/>
          <w:szCs w:val="24"/>
        </w:rPr>
      </w:pPr>
      <w:r w:rsidRPr="00CF52D2">
        <w:rPr>
          <w:b/>
          <w:sz w:val="24"/>
          <w:szCs w:val="24"/>
        </w:rPr>
        <w:t>Adequacy of charts in polar areas</w:t>
      </w:r>
    </w:p>
    <w:p w:rsidR="00DA3746" w:rsidRDefault="00DA3746" w:rsidP="002C3C79">
      <w:pPr>
        <w:autoSpaceDE w:val="0"/>
        <w:autoSpaceDN w:val="0"/>
        <w:adjustRightInd w:val="0"/>
        <w:spacing w:after="0" w:line="240" w:lineRule="auto"/>
      </w:pPr>
      <w:r>
        <w:t>The IHO made a statement to the meeting, referring to the obligations</w:t>
      </w:r>
      <w:r w:rsidRPr="00DA3746">
        <w:t xml:space="preserve"> </w:t>
      </w:r>
      <w:r>
        <w:t xml:space="preserve">of states, under SOLAS Chapter V, to provide adequate charts and indicating concern that </w:t>
      </w:r>
      <w:r w:rsidR="00B17066">
        <w:t>chart coverage</w:t>
      </w:r>
      <w:r>
        <w:t xml:space="preserve"> for </w:t>
      </w:r>
      <w:r w:rsidR="00B17066">
        <w:t xml:space="preserve">Arctic and Antarctic areas at an appropriate scale was generally inadequate for coastal navigation. </w:t>
      </w:r>
      <w:r w:rsidR="00CF52D2">
        <w:t xml:space="preserve">IHO urged </w:t>
      </w:r>
      <w:r w:rsidR="00B17066">
        <w:t>M</w:t>
      </w:r>
      <w:r w:rsidR="00CF52D2">
        <w:t xml:space="preserve">ember </w:t>
      </w:r>
      <w:r w:rsidR="00B17066">
        <w:t>S</w:t>
      </w:r>
      <w:r w:rsidR="00CF52D2">
        <w:t xml:space="preserve">tates to address this matter, and specifically mentioned the gathering of voyage soundings by ships engaged on polar voyages. </w:t>
      </w:r>
      <w:r w:rsidR="00B17066">
        <w:t>T</w:t>
      </w:r>
      <w:r w:rsidR="00CF52D2">
        <w:t xml:space="preserve">he Committee </w:t>
      </w:r>
      <w:r w:rsidR="00B17066">
        <w:t>stressed the utmost importance of adequate charting and encouraged Member States to support IHO activities in this regard.</w:t>
      </w:r>
    </w:p>
    <w:p w:rsidR="00E6761A" w:rsidRDefault="00E6761A" w:rsidP="002C3C79">
      <w:pPr>
        <w:autoSpaceDE w:val="0"/>
        <w:autoSpaceDN w:val="0"/>
        <w:adjustRightInd w:val="0"/>
        <w:spacing w:after="0" w:line="240" w:lineRule="auto"/>
      </w:pPr>
    </w:p>
    <w:p w:rsidR="00B17066" w:rsidRPr="00B17066" w:rsidRDefault="00B17066" w:rsidP="002C3C79">
      <w:pPr>
        <w:autoSpaceDE w:val="0"/>
        <w:autoSpaceDN w:val="0"/>
        <w:adjustRightInd w:val="0"/>
        <w:spacing w:after="0" w:line="240" w:lineRule="auto"/>
        <w:rPr>
          <w:b/>
          <w:sz w:val="24"/>
          <w:szCs w:val="24"/>
        </w:rPr>
      </w:pPr>
      <w:r w:rsidRPr="00B17066">
        <w:rPr>
          <w:b/>
          <w:sz w:val="24"/>
          <w:szCs w:val="24"/>
        </w:rPr>
        <w:t>Chairmanship of the Committee</w:t>
      </w:r>
    </w:p>
    <w:p w:rsidR="00DA3746" w:rsidRPr="0061244F" w:rsidRDefault="00265B4D" w:rsidP="00265B4D">
      <w:pPr>
        <w:autoSpaceDE w:val="0"/>
        <w:autoSpaceDN w:val="0"/>
        <w:adjustRightInd w:val="0"/>
        <w:spacing w:after="0" w:line="240" w:lineRule="auto"/>
      </w:pPr>
      <w:r w:rsidRPr="0061244F">
        <w:t xml:space="preserve">The Committee unanimously re-elected </w:t>
      </w:r>
      <w:proofErr w:type="spellStart"/>
      <w:r w:rsidRPr="0061244F">
        <w:t>Mr.</w:t>
      </w:r>
      <w:proofErr w:type="spellEnd"/>
      <w:r w:rsidRPr="0061244F">
        <w:t xml:space="preserve"> Christian </w:t>
      </w:r>
      <w:proofErr w:type="spellStart"/>
      <w:r w:rsidRPr="0061244F">
        <w:t>Breinholt</w:t>
      </w:r>
      <w:proofErr w:type="spellEnd"/>
      <w:r w:rsidRPr="0061244F">
        <w:t xml:space="preserve"> (Denmark) as</w:t>
      </w:r>
      <w:r w:rsidR="0061244F">
        <w:t xml:space="preserve"> </w:t>
      </w:r>
      <w:r w:rsidRPr="0061244F">
        <w:t>Chairman, and Capt. M. Segar (Singapore) as Vice-Chairman, for 2014</w:t>
      </w:r>
      <w:r w:rsidR="0061244F" w:rsidRPr="0061244F">
        <w:t>.</w:t>
      </w:r>
    </w:p>
    <w:p w:rsidR="0061244F" w:rsidRDefault="0061244F" w:rsidP="00265B4D">
      <w:pPr>
        <w:autoSpaceDE w:val="0"/>
        <w:autoSpaceDN w:val="0"/>
        <w:adjustRightInd w:val="0"/>
        <w:spacing w:after="0" w:line="240" w:lineRule="auto"/>
      </w:pPr>
    </w:p>
    <w:p w:rsidR="00BF5D51" w:rsidRPr="00B41DE2" w:rsidRDefault="00BF5D51" w:rsidP="00BF5D51">
      <w:pPr>
        <w:spacing w:after="0" w:line="240" w:lineRule="auto"/>
        <w:rPr>
          <w:rFonts w:eastAsia="Times New Roman" w:cs="Times New Roman"/>
          <w:sz w:val="24"/>
          <w:szCs w:val="24"/>
          <w:lang w:eastAsia="en-GB"/>
        </w:rPr>
      </w:pPr>
      <w:r w:rsidRPr="008E64F3">
        <w:rPr>
          <w:b/>
          <w:sz w:val="24"/>
          <w:szCs w:val="24"/>
        </w:rPr>
        <w:t>IMO Symposium on the Future of Ship Safety</w:t>
      </w:r>
      <w:r w:rsidRPr="008E64F3">
        <w:rPr>
          <w:b/>
          <w:sz w:val="24"/>
          <w:szCs w:val="24"/>
        </w:rPr>
        <w:br/>
      </w:r>
      <w:r w:rsidR="008E64F3">
        <w:rPr>
          <w:rFonts w:eastAsia="Times New Roman" w:cs="Times New Roman"/>
          <w:sz w:val="24"/>
          <w:szCs w:val="24"/>
          <w:lang w:eastAsia="en-GB"/>
        </w:rPr>
        <w:t>MSC92 was</w:t>
      </w:r>
      <w:r w:rsidRPr="00B41DE2">
        <w:rPr>
          <w:rFonts w:eastAsia="Times New Roman" w:cs="Times New Roman"/>
          <w:sz w:val="24"/>
          <w:szCs w:val="24"/>
          <w:lang w:eastAsia="en-GB"/>
        </w:rPr>
        <w:t xml:space="preserve"> preceded by The IMO Symposium on the Future of Ship Safety which </w:t>
      </w:r>
      <w:r w:rsidR="008E64F3">
        <w:rPr>
          <w:rFonts w:eastAsia="Times New Roman" w:cs="Times New Roman"/>
          <w:sz w:val="24"/>
          <w:szCs w:val="24"/>
          <w:lang w:eastAsia="en-GB"/>
        </w:rPr>
        <w:t>was</w:t>
      </w:r>
      <w:r w:rsidRPr="00B41DE2">
        <w:rPr>
          <w:rFonts w:eastAsia="Times New Roman" w:cs="Times New Roman"/>
          <w:sz w:val="24"/>
          <w:szCs w:val="24"/>
          <w:lang w:eastAsia="en-GB"/>
        </w:rPr>
        <w:t xml:space="preserve"> held on 10 and 11 June. </w:t>
      </w:r>
    </w:p>
    <w:p w:rsidR="00BF5D51" w:rsidRPr="00B41DE2" w:rsidRDefault="00BF5D51" w:rsidP="00BF5D51">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07E3E" w:rsidRPr="00B07E3E" w:rsidRDefault="00BF5D51" w:rsidP="009311C9">
      <w:pPr>
        <w:spacing w:after="0" w:line="240" w:lineRule="auto"/>
        <w:rPr>
          <w:rFonts w:eastAsia="Times New Roman" w:cs="Times New Roman"/>
          <w:b/>
          <w:sz w:val="24"/>
          <w:szCs w:val="24"/>
          <w:lang w:eastAsia="en-GB"/>
        </w:rPr>
      </w:pPr>
      <w:r w:rsidRPr="00B41DE2">
        <w:rPr>
          <w:rFonts w:eastAsia="Times New Roman" w:cs="Times New Roman"/>
          <w:sz w:val="24"/>
          <w:szCs w:val="24"/>
          <w:lang w:eastAsia="en-GB"/>
        </w:rPr>
        <w:t>The symposium include</w:t>
      </w:r>
      <w:r w:rsidR="008E64F3">
        <w:rPr>
          <w:rFonts w:eastAsia="Times New Roman" w:cs="Times New Roman"/>
          <w:sz w:val="24"/>
          <w:szCs w:val="24"/>
          <w:lang w:eastAsia="en-GB"/>
        </w:rPr>
        <w:t>d</w:t>
      </w:r>
      <w:r w:rsidRPr="00B41DE2">
        <w:rPr>
          <w:rFonts w:eastAsia="Times New Roman" w:cs="Times New Roman"/>
          <w:sz w:val="24"/>
          <w:szCs w:val="24"/>
          <w:lang w:eastAsia="en-GB"/>
        </w:rPr>
        <w:t xml:space="preserve"> six international panels of high-level speakers from across the broad spectrum of ship design, construction, equipment, operation and regulation, who discuss</w:t>
      </w:r>
      <w:r w:rsidR="008E64F3">
        <w:rPr>
          <w:rFonts w:eastAsia="Times New Roman" w:cs="Times New Roman"/>
          <w:sz w:val="24"/>
          <w:szCs w:val="24"/>
          <w:lang w:eastAsia="en-GB"/>
        </w:rPr>
        <w:t>ed</w:t>
      </w:r>
      <w:r w:rsidRPr="00B41DE2">
        <w:rPr>
          <w:rFonts w:eastAsia="Times New Roman" w:cs="Times New Roman"/>
          <w:sz w:val="24"/>
          <w:szCs w:val="24"/>
          <w:lang w:eastAsia="en-GB"/>
        </w:rPr>
        <w:t xml:space="preserve"> a wide range of issues impacting the future of ship safety. The </w:t>
      </w:r>
      <w:r w:rsidR="008E64F3">
        <w:rPr>
          <w:rFonts w:eastAsia="Times New Roman" w:cs="Times New Roman"/>
          <w:sz w:val="24"/>
          <w:szCs w:val="24"/>
          <w:lang w:eastAsia="en-GB"/>
        </w:rPr>
        <w:t xml:space="preserve">Secretary General </w:t>
      </w:r>
      <w:r w:rsidR="005614AB">
        <w:rPr>
          <w:rFonts w:eastAsia="Times New Roman" w:cs="Times New Roman"/>
          <w:sz w:val="24"/>
          <w:szCs w:val="24"/>
          <w:lang w:eastAsia="en-GB"/>
        </w:rPr>
        <w:t>was one of the six speakers</w:t>
      </w:r>
      <w:r w:rsidR="005614AB" w:rsidRPr="009311C9">
        <w:rPr>
          <w:rFonts w:eastAsia="Times New Roman" w:cs="Times New Roman"/>
          <w:sz w:val="24"/>
          <w:szCs w:val="24"/>
          <w:lang w:eastAsia="en-GB"/>
        </w:rPr>
        <w:t>.</w:t>
      </w:r>
      <w:r w:rsidR="00C47A8D" w:rsidRPr="009311C9">
        <w:rPr>
          <w:rFonts w:eastAsia="Times New Roman" w:cs="Times New Roman"/>
          <w:sz w:val="24"/>
          <w:szCs w:val="24"/>
          <w:lang w:eastAsia="en-GB"/>
        </w:rPr>
        <w:t xml:space="preserve"> </w:t>
      </w:r>
    </w:p>
    <w:p w:rsidR="00C47A8D" w:rsidRPr="00B41DE2" w:rsidRDefault="00C47A8D" w:rsidP="00BF5D51">
      <w:pPr>
        <w:spacing w:after="0" w:line="240" w:lineRule="auto"/>
        <w:rPr>
          <w:rFonts w:eastAsia="Times New Roman" w:cs="Times New Roman"/>
          <w:sz w:val="24"/>
          <w:szCs w:val="24"/>
          <w:lang w:eastAsia="en-GB"/>
        </w:rPr>
      </w:pPr>
    </w:p>
    <w:p w:rsidR="00BF5D51" w:rsidRPr="00854501" w:rsidRDefault="00BF5D51" w:rsidP="00BF5D51">
      <w:pPr>
        <w:autoSpaceDE w:val="0"/>
        <w:autoSpaceDN w:val="0"/>
        <w:adjustRightInd w:val="0"/>
        <w:spacing w:after="0" w:line="240" w:lineRule="auto"/>
      </w:pPr>
    </w:p>
    <w:p w:rsidR="00BF5D51" w:rsidRDefault="00BF5D51">
      <w:pPr>
        <w:rPr>
          <w:rFonts w:eastAsia="Times New Roman" w:cs="Times New Roman"/>
          <w:sz w:val="24"/>
          <w:szCs w:val="24"/>
          <w:lang w:eastAsia="en-GB"/>
        </w:rPr>
      </w:pPr>
      <w:r>
        <w:rPr>
          <w:rFonts w:eastAsia="Times New Roman" w:cs="Times New Roman"/>
          <w:sz w:val="24"/>
          <w:szCs w:val="24"/>
          <w:lang w:eastAsia="en-GB"/>
        </w:rPr>
        <w:br w:type="page"/>
      </w:r>
    </w:p>
    <w:p w:rsidR="00854501" w:rsidRPr="00B41DE2" w:rsidRDefault="00854501" w:rsidP="00AB402D">
      <w:pPr>
        <w:spacing w:after="0" w:line="240" w:lineRule="auto"/>
        <w:rPr>
          <w:rFonts w:eastAsia="Times New Roman" w:cs="Times New Roman"/>
          <w:sz w:val="24"/>
          <w:szCs w:val="24"/>
          <w:lang w:eastAsia="en-GB"/>
        </w:rPr>
      </w:pP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Passenger drill amendments to be adopted</w:t>
      </w:r>
      <w:r w:rsidRPr="00B41DE2">
        <w:rPr>
          <w:rFonts w:eastAsia="Times New Roman" w:cs="Times New Roman"/>
          <w:sz w:val="24"/>
          <w:szCs w:val="24"/>
          <w:lang w:eastAsia="en-GB"/>
        </w:rPr>
        <w:br/>
        <w:t xml:space="preserve">The MSC is expected to adopt draft amendments SOLAS regulation III/19 to require musters of newly embarked passengers prior to or immediately upon departure, instead of “within 24 hours”, as stated in the current regulations.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b/>
          <w:bCs/>
          <w:sz w:val="24"/>
          <w:szCs w:val="24"/>
          <w:highlight w:val="yellow"/>
          <w:lang w:eastAsia="en-GB"/>
        </w:rPr>
        <w:t>Piracy and armed robbery against ships</w:t>
      </w:r>
      <w:r w:rsidRPr="00B41DE2">
        <w:rPr>
          <w:rFonts w:eastAsia="Times New Roman" w:cs="Times New Roman"/>
          <w:sz w:val="24"/>
          <w:szCs w:val="24"/>
          <w:highlight w:val="yellow"/>
          <w:lang w:eastAsia="en-GB"/>
        </w:rPr>
        <w:br/>
        <w:t>The MSC will review the latest statistics on piracy and armed robbery against ships and discuss current initiatives to suppress piracy and armed robbery.</w:t>
      </w:r>
    </w:p>
    <w:p w:rsidR="00B41DE2" w:rsidRPr="00B41DE2" w:rsidRDefault="00B41DE2" w:rsidP="00B41DE2">
      <w:pPr>
        <w:spacing w:after="0" w:line="240" w:lineRule="auto"/>
        <w:rPr>
          <w:rFonts w:eastAsia="Times New Roman" w:cs="Times New Roman"/>
          <w:sz w:val="24"/>
          <w:szCs w:val="24"/>
          <w:highlight w:val="yellow"/>
          <w:lang w:eastAsia="en-GB"/>
        </w:rPr>
      </w:pPr>
      <w:r w:rsidRPr="00B41DE2">
        <w:rPr>
          <w:rFonts w:eastAsia="Times New Roman" w:cs="Times New Roman"/>
          <w:sz w:val="24"/>
          <w:szCs w:val="24"/>
          <w:highlight w:val="yellow"/>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highlight w:val="yellow"/>
          <w:lang w:eastAsia="en-GB"/>
        </w:rPr>
        <w:t xml:space="preserve">The number of attacks launched by Somali-based pirates is reported to have decreased while the number of reported attacks off </w:t>
      </w:r>
      <w:proofErr w:type="gramStart"/>
      <w:r w:rsidRPr="00B41DE2">
        <w:rPr>
          <w:rFonts w:eastAsia="Times New Roman" w:cs="Times New Roman"/>
          <w:sz w:val="24"/>
          <w:szCs w:val="24"/>
          <w:highlight w:val="yellow"/>
          <w:lang w:eastAsia="en-GB"/>
        </w:rPr>
        <w:t>west</w:t>
      </w:r>
      <w:proofErr w:type="gramEnd"/>
      <w:r w:rsidRPr="00B41DE2">
        <w:rPr>
          <w:rFonts w:eastAsia="Times New Roman" w:cs="Times New Roman"/>
          <w:sz w:val="24"/>
          <w:szCs w:val="24"/>
          <w:highlight w:val="yellow"/>
          <w:lang w:eastAsia="en-GB"/>
        </w:rPr>
        <w:t xml:space="preserve"> Africa remains a concern.</w:t>
      </w:r>
      <w:r w:rsidRPr="00B41DE2">
        <w:rPr>
          <w:rFonts w:eastAsia="Times New Roman" w:cs="Times New Roman"/>
          <w:sz w:val="24"/>
          <w:szCs w:val="24"/>
          <w:lang w:eastAsia="en-GB"/>
        </w:rPr>
        <w:t xml:space="preserve">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b/>
          <w:bCs/>
          <w:sz w:val="24"/>
          <w:szCs w:val="24"/>
          <w:lang w:eastAsia="en-GB"/>
        </w:rPr>
        <w:t>Other issues</w:t>
      </w:r>
      <w:r w:rsidRPr="00B41DE2">
        <w:rPr>
          <w:rFonts w:eastAsia="Times New Roman" w:cs="Times New Roman"/>
          <w:sz w:val="24"/>
          <w:szCs w:val="24"/>
          <w:lang w:eastAsia="en-GB"/>
        </w:rPr>
        <w:br/>
        <w:t>In connection with other issues arising from the reports of IMO sub-committees and other bodies, the MSC will be invited to:</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w:t>
      </w:r>
      <w:r w:rsidRPr="00B41DE2">
        <w:rPr>
          <w:rFonts w:eastAsia="Times New Roman" w:cs="Times New Roman"/>
          <w:sz w:val="24"/>
          <w:szCs w:val="24"/>
          <w:highlight w:val="yellow"/>
          <w:lang w:eastAsia="en-GB"/>
        </w:rPr>
        <w:t>amendments to SOLAS</w:t>
      </w:r>
      <w:r w:rsidRPr="00B41DE2">
        <w:rPr>
          <w:rFonts w:eastAsia="Times New Roman" w:cs="Times New Roman"/>
          <w:sz w:val="24"/>
          <w:szCs w:val="24"/>
          <w:lang w:eastAsia="en-GB"/>
        </w:rPr>
        <w:t xml:space="preserve"> to require the installation of inert gas systems on board new oil and chemical tankers of 8,000 </w:t>
      </w:r>
      <w:proofErr w:type="spellStart"/>
      <w:r w:rsidRPr="00B41DE2">
        <w:rPr>
          <w:rFonts w:eastAsia="Times New Roman" w:cs="Times New Roman"/>
          <w:sz w:val="24"/>
          <w:szCs w:val="24"/>
          <w:lang w:eastAsia="en-GB"/>
        </w:rPr>
        <w:t>dwt</w:t>
      </w:r>
      <w:proofErr w:type="spellEnd"/>
      <w:r w:rsidRPr="00B41DE2">
        <w:rPr>
          <w:rFonts w:eastAsia="Times New Roman" w:cs="Times New Roman"/>
          <w:sz w:val="24"/>
          <w:szCs w:val="24"/>
          <w:lang w:eastAsia="en-GB"/>
        </w:rPr>
        <w:t xml:space="preserve"> and above, carrying low-flashpoint (below 60°C) cargoes;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w:t>
      </w:r>
      <w:r w:rsidRPr="00B41DE2">
        <w:rPr>
          <w:rFonts w:eastAsia="Times New Roman" w:cs="Times New Roman"/>
          <w:sz w:val="24"/>
          <w:szCs w:val="24"/>
          <w:highlight w:val="yellow"/>
          <w:lang w:eastAsia="en-GB"/>
        </w:rPr>
        <w:t>new draft SOLAS regulation</w:t>
      </w:r>
      <w:r w:rsidRPr="00B41DE2">
        <w:rPr>
          <w:rFonts w:eastAsia="Times New Roman" w:cs="Times New Roman"/>
          <w:sz w:val="24"/>
          <w:szCs w:val="24"/>
          <w:lang w:eastAsia="en-GB"/>
        </w:rPr>
        <w:t xml:space="preserve"> II-2/20-1 Requirement for vehicle carriers carrying motor vehicles with compressed hydrogen or natural gas for their own propulsion;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r w:rsidRPr="00B41DE2">
        <w:rPr>
          <w:rFonts w:eastAsia="Times New Roman" w:cs="Times New Roman"/>
          <w:sz w:val="24"/>
          <w:szCs w:val="24"/>
          <w:highlight w:val="yellow"/>
          <w:lang w:eastAsia="en-GB"/>
        </w:rPr>
        <w:t>Approve, for future adoption, draft amendments to the International Convention</w:t>
      </w:r>
      <w:r w:rsidRPr="00B41DE2">
        <w:rPr>
          <w:rFonts w:eastAsia="Times New Roman" w:cs="Times New Roman"/>
          <w:sz w:val="24"/>
          <w:szCs w:val="24"/>
          <w:lang w:eastAsia="en-GB"/>
        </w:rPr>
        <w:t xml:space="preserve"> on Standards of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for Seafarers, 1978, and the Seafarers' Training, Certification and </w:t>
      </w:r>
      <w:proofErr w:type="spellStart"/>
      <w:r w:rsidRPr="00B41DE2">
        <w:rPr>
          <w:rFonts w:eastAsia="Times New Roman" w:cs="Times New Roman"/>
          <w:sz w:val="24"/>
          <w:szCs w:val="24"/>
          <w:lang w:eastAsia="en-GB"/>
        </w:rPr>
        <w:t>Watchkeeping</w:t>
      </w:r>
      <w:proofErr w:type="spellEnd"/>
      <w:r w:rsidRPr="00B41DE2">
        <w:rPr>
          <w:rFonts w:eastAsia="Times New Roman" w:cs="Times New Roman"/>
          <w:sz w:val="24"/>
          <w:szCs w:val="24"/>
          <w:lang w:eastAsia="en-GB"/>
        </w:rPr>
        <w:t xml:space="preserve"> (STCW) Code, to make the IMO Instruments Implementation Code (III Code) and IMO Member State Audit Scheme mandatory;</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adoption at MSC 93, a draft MSC resolution on Requirements for periodic servicing and maintenance of lifeboats and rescue boats, as well as associated draft SOLAS amendments to make these requirements mandatory,  and also to approve, in principle,  a draft MSC circular on Guidelines on safety during abandon ship drills using lifeboats, reflecting recommendatory provisions;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for future adoption, draft amendments to: SOLAS regulation II-2/13.4 mandating additional means of escape from machinery spaces; to SOLAS regulations II-2/3 and II-2/9.7, relating to the requirements for the fire resistance of ventilation ducts; and  to SOLAS regulation II-2/10, concerning fire protection requirements for on-deck cargo areas for new ships;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lastRenderedPageBreak/>
        <w:t>• Approve, for future adoption, the draft revised International Code for the Construction and Equipment of Ships Carrying Liquefied Gases in Bulk (the IGC Code);</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guidance related to the to the establishment and testing of long-range identification and tracking (LRIT) Data Centres (DCs) and the operation of the LRIT system;</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Secretary-General’s report on a number of countries whose independent evaluations have been completed since the previous MSC meeting and confirm if those Parties continue to give full and complete effect to the provisions of the STCW Convention;</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Consider the report of a correspondence group on goal-based standards, established to develop draft guidelines for the approval of equivalents and alternatives as provided for in various IMO instruments;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Approve the draft List of certificate and documents required to be carried on board ships, for issuing as a circular to update previous versions;</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Review draft Guidelines for Use of Printed Versions of Electronic Certificates;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draft CSC circular on Guidelines for development of an Approved Continuous Examination Programme (ACEP) and approve draft amendments to the Revised Recommendations on harmonized interpretation and implementation of the International Convention for Safe Containers, 1972, as amended (CSC.1/Circ.138);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xml:space="preserve">• Approve a procedure for calculating the number of fishing vessels of each Contracting State to the 2012 Cape Town Agreement by the Depositary and approve the consolidated text of the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International Convention for the Safety of Fishing Vessels, 1977, as modified by the 1993 </w:t>
      </w:r>
      <w:proofErr w:type="spellStart"/>
      <w:r w:rsidRPr="00B41DE2">
        <w:rPr>
          <w:rFonts w:eastAsia="Times New Roman" w:cs="Times New Roman"/>
          <w:sz w:val="24"/>
          <w:szCs w:val="24"/>
          <w:lang w:eastAsia="en-GB"/>
        </w:rPr>
        <w:t>Torremolinos</w:t>
      </w:r>
      <w:proofErr w:type="spellEnd"/>
      <w:r w:rsidRPr="00B41DE2">
        <w:rPr>
          <w:rFonts w:eastAsia="Times New Roman" w:cs="Times New Roman"/>
          <w:sz w:val="24"/>
          <w:szCs w:val="24"/>
          <w:lang w:eastAsia="en-GB"/>
        </w:rPr>
        <w:t xml:space="preserve"> Protocol relating thereto, as modified by the 2012 Cape Town Agreement.</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B41DE2" w:rsidRPr="00B41DE2" w:rsidRDefault="00B41DE2" w:rsidP="00B41DE2">
      <w:pPr>
        <w:spacing w:after="0" w:line="240" w:lineRule="auto"/>
        <w:rPr>
          <w:rFonts w:eastAsia="Times New Roman" w:cs="Times New Roman"/>
          <w:sz w:val="24"/>
          <w:szCs w:val="24"/>
          <w:lang w:eastAsia="en-GB"/>
        </w:rPr>
      </w:pPr>
      <w:r w:rsidRPr="00B41DE2">
        <w:rPr>
          <w:rFonts w:eastAsia="Times New Roman" w:cs="Times New Roman"/>
          <w:sz w:val="24"/>
          <w:szCs w:val="24"/>
          <w:lang w:eastAsia="en-GB"/>
        </w:rPr>
        <w:t> </w:t>
      </w:r>
    </w:p>
    <w:p w:rsidR="00C86A06" w:rsidRDefault="00F92C40" w:rsidP="00B41DE2">
      <w:pPr>
        <w:spacing w:before="100" w:beforeAutospacing="1" w:after="100" w:afterAutospacing="1" w:line="240" w:lineRule="auto"/>
        <w:rPr>
          <w:rFonts w:eastAsia="Times New Roman" w:cs="Times New Roman"/>
          <w:sz w:val="24"/>
          <w:szCs w:val="24"/>
          <w:lang w:eastAsia="en-GB"/>
        </w:rPr>
      </w:pPr>
      <w:proofErr w:type="spellStart"/>
      <w:proofErr w:type="gramStart"/>
      <w:r>
        <w:rPr>
          <w:rFonts w:eastAsia="Times New Roman" w:cs="Times New Roman"/>
          <w:sz w:val="24"/>
          <w:szCs w:val="24"/>
          <w:highlight w:val="yellow"/>
          <w:lang w:eastAsia="en-GB"/>
        </w:rPr>
        <w:t>kk</w:t>
      </w:r>
      <w:r w:rsidR="00C86A06" w:rsidRPr="00C86A06">
        <w:rPr>
          <w:rFonts w:eastAsia="Times New Roman" w:cs="Times New Roman"/>
          <w:sz w:val="24"/>
          <w:szCs w:val="24"/>
          <w:highlight w:val="yellow"/>
          <w:lang w:eastAsia="en-GB"/>
        </w:rPr>
        <w:t>Polar</w:t>
      </w:r>
      <w:proofErr w:type="spellEnd"/>
      <w:proofErr w:type="gramEnd"/>
      <w:r w:rsidR="00C86A06" w:rsidRPr="00C86A06">
        <w:rPr>
          <w:rFonts w:eastAsia="Times New Roman" w:cs="Times New Roman"/>
          <w:sz w:val="24"/>
          <w:szCs w:val="24"/>
          <w:highlight w:val="yellow"/>
          <w:lang w:eastAsia="en-GB"/>
        </w:rPr>
        <w:t xml:space="preserve"> code</w:t>
      </w:r>
    </w:p>
    <w:p w:rsidR="004406EB" w:rsidRDefault="004406EB" w:rsidP="00B41DE2">
      <w:pPr>
        <w:spacing w:before="100" w:beforeAutospacing="1" w:after="100" w:afterAutospacing="1" w:line="240" w:lineRule="auto"/>
        <w:rPr>
          <w:rFonts w:eastAsia="Times New Roman" w:cs="Times New Roman"/>
          <w:sz w:val="24"/>
          <w:szCs w:val="24"/>
          <w:lang w:eastAsia="en-GB"/>
        </w:rPr>
      </w:pPr>
    </w:p>
    <w:p w:rsidR="004406EB" w:rsidRPr="00B41DE2" w:rsidRDefault="004406EB" w:rsidP="00B41DE2">
      <w:pPr>
        <w:spacing w:before="100" w:beforeAutospacing="1" w:after="100" w:afterAutospacing="1" w:line="240" w:lineRule="auto"/>
        <w:rPr>
          <w:rFonts w:eastAsia="Times New Roman" w:cs="Times New Roman"/>
          <w:sz w:val="24"/>
          <w:szCs w:val="24"/>
          <w:lang w:eastAsia="en-GB"/>
        </w:rPr>
      </w:pPr>
      <w:r>
        <w:rPr>
          <w:rFonts w:eastAsia="Times New Roman" w:cs="Times New Roman"/>
          <w:sz w:val="24"/>
          <w:szCs w:val="24"/>
          <w:lang w:eastAsia="en-GB"/>
        </w:rPr>
        <w:t xml:space="preserve">2013-06-12 Costa Concordia fall-out – discussion of the implications of the report from Italy and then discussion on the breadth of action to be taken; restrict to direct effects of CC loss; broader review?; what ships are we discussing?; </w:t>
      </w:r>
    </w:p>
    <w:p w:rsidR="00B41DE2" w:rsidRDefault="00E43C7F">
      <w:r>
        <w:t>From msc92/6/6</w:t>
      </w:r>
    </w:p>
    <w:p w:rsidR="00E43C7F" w:rsidRDefault="00E43C7F" w:rsidP="00E43C7F">
      <w:pPr>
        <w:pStyle w:val="Default"/>
        <w:rPr>
          <w:sz w:val="22"/>
          <w:szCs w:val="22"/>
        </w:rPr>
      </w:pPr>
      <w:r>
        <w:rPr>
          <w:sz w:val="22"/>
          <w:szCs w:val="22"/>
        </w:rPr>
        <w:t xml:space="preserve">The results of the above-mentioned study commissioned by EMSA indicate that an accident with a </w:t>
      </w:r>
      <w:proofErr w:type="spellStart"/>
      <w:r>
        <w:rPr>
          <w:sz w:val="22"/>
          <w:szCs w:val="22"/>
        </w:rPr>
        <w:t>ro-ro</w:t>
      </w:r>
      <w:proofErr w:type="spellEnd"/>
      <w:r>
        <w:rPr>
          <w:sz w:val="22"/>
          <w:szCs w:val="22"/>
        </w:rPr>
        <w:t xml:space="preserve"> passenger ship involving 1,000 or more fatalities can be expected every 17.2 years. This number is based on the frequency of collision, the worldwide </w:t>
      </w:r>
      <w:proofErr w:type="spellStart"/>
      <w:r>
        <w:rPr>
          <w:sz w:val="22"/>
          <w:szCs w:val="22"/>
        </w:rPr>
        <w:t>ro-ro</w:t>
      </w:r>
      <w:proofErr w:type="spellEnd"/>
      <w:r>
        <w:rPr>
          <w:sz w:val="22"/>
          <w:szCs w:val="22"/>
        </w:rPr>
        <w:t xml:space="preserve"> passenger fleet size and the fleet distribution, while it was assumed that the ships in that fleet have an Attained Subdivision Index "A" that is equal to the Required Subdivision Index "R" and that all persons on board became fatalities. </w:t>
      </w:r>
    </w:p>
    <w:p w:rsidR="00E43C7F" w:rsidRDefault="00E43C7F" w:rsidP="00E43C7F">
      <w:pPr>
        <w:pStyle w:val="Default"/>
        <w:rPr>
          <w:sz w:val="22"/>
          <w:szCs w:val="22"/>
        </w:rPr>
      </w:pPr>
      <w:r>
        <w:rPr>
          <w:sz w:val="22"/>
          <w:szCs w:val="22"/>
        </w:rPr>
        <w:lastRenderedPageBreak/>
        <w:t xml:space="preserve">10 Furthermore it was calculated that the upper boundary of the ALARP region in the F-N curves as presented in the FSA guidelines represents an expectation of an accident to happen every 20 years at the point of 1,000 or more fatalities for the number of ships within the world </w:t>
      </w:r>
      <w:proofErr w:type="spellStart"/>
      <w:r>
        <w:rPr>
          <w:sz w:val="22"/>
          <w:szCs w:val="22"/>
        </w:rPr>
        <w:t>ro-ro</w:t>
      </w:r>
      <w:proofErr w:type="spellEnd"/>
      <w:r>
        <w:rPr>
          <w:sz w:val="22"/>
          <w:szCs w:val="22"/>
        </w:rPr>
        <w:t xml:space="preserve"> passenger fleet carrying 1,000 or more passengers if all persons on board were regarded as fatalities. As a result, this fleet would be operating within the intolerable region of the F-N curve. </w:t>
      </w:r>
    </w:p>
    <w:p w:rsidR="00E43C7F" w:rsidRDefault="00E43C7F" w:rsidP="00E43C7F">
      <w:pPr>
        <w:pStyle w:val="Default"/>
        <w:rPr>
          <w:sz w:val="22"/>
          <w:szCs w:val="22"/>
        </w:rPr>
      </w:pPr>
      <w:r>
        <w:rPr>
          <w:sz w:val="22"/>
          <w:szCs w:val="22"/>
        </w:rPr>
        <w:t xml:space="preserve">11 The results further indicated that the identified risk control options could reduce the above-mentioned expectation of one major accident involving 1,000 or more fatalities occurring every 20 years to one major accident occurring every 100 years. </w:t>
      </w:r>
    </w:p>
    <w:p w:rsidR="00E43C7F" w:rsidRDefault="00E43C7F" w:rsidP="00E43C7F">
      <w:r>
        <w:t xml:space="preserve">12 In the study commissioned by EMSA, 5 different </w:t>
      </w:r>
      <w:proofErr w:type="spellStart"/>
      <w:r>
        <w:t>ro-ro</w:t>
      </w:r>
      <w:proofErr w:type="spellEnd"/>
      <w:r>
        <w:t xml:space="preserve"> passenger ships</w:t>
      </w:r>
    </w:p>
    <w:p w:rsidR="000A1BAC" w:rsidRDefault="000A1BAC" w:rsidP="00E43C7F">
      <w:r>
        <w:t>92/6/7</w:t>
      </w:r>
    </w:p>
    <w:p w:rsidR="000A1BAC" w:rsidRDefault="000A1BAC" w:rsidP="000A1BAC">
      <w:pPr>
        <w:pStyle w:val="Default"/>
        <w:rPr>
          <w:sz w:val="22"/>
          <w:szCs w:val="22"/>
        </w:rPr>
      </w:pPr>
      <w:r>
        <w:rPr>
          <w:sz w:val="22"/>
          <w:szCs w:val="22"/>
        </w:rPr>
        <w:t xml:space="preserve">Given that the current survivability of new passenger ships, SOLAS regulation II-1/6, generally reflects a SOLAS 90 two-compartment standard, and taking into account both: </w:t>
      </w:r>
    </w:p>
    <w:p w:rsidR="000A1BAC" w:rsidRDefault="000A1BAC" w:rsidP="000A1BAC">
      <w:pPr>
        <w:pStyle w:val="Default"/>
        <w:rPr>
          <w:sz w:val="22"/>
          <w:szCs w:val="22"/>
        </w:rPr>
      </w:pPr>
      <w:r>
        <w:rPr>
          <w:sz w:val="22"/>
          <w:szCs w:val="22"/>
        </w:rPr>
        <w:t xml:space="preserve">.1 the findings from the EC study results, which indicate that the current required survivability of passenger ships after damage is not adequate and that it is feasible to improve the survivability; and </w:t>
      </w:r>
    </w:p>
    <w:p w:rsidR="000A1BAC" w:rsidRDefault="000A1BAC" w:rsidP="000A1BAC">
      <w:pPr>
        <w:pStyle w:val="Default"/>
        <w:rPr>
          <w:sz w:val="22"/>
          <w:szCs w:val="22"/>
        </w:rPr>
      </w:pPr>
      <w:r>
        <w:rPr>
          <w:sz w:val="22"/>
          <w:szCs w:val="22"/>
        </w:rPr>
        <w:t xml:space="preserve">.2 </w:t>
      </w:r>
      <w:proofErr w:type="gramStart"/>
      <w:r>
        <w:rPr>
          <w:sz w:val="22"/>
          <w:szCs w:val="22"/>
        </w:rPr>
        <w:t>the</w:t>
      </w:r>
      <w:proofErr w:type="gramEnd"/>
      <w:r>
        <w:rPr>
          <w:sz w:val="22"/>
          <w:szCs w:val="22"/>
        </w:rPr>
        <w:t xml:space="preserve"> desirability to align an improved survivability with the comprehensive package of revisions to the SOLAS chapter II-1 subdivision and damage stability regulations, </w:t>
      </w:r>
    </w:p>
    <w:p w:rsidR="000A1BAC" w:rsidRPr="00C86A06" w:rsidRDefault="000A1BAC" w:rsidP="000A1BAC">
      <w:proofErr w:type="gramStart"/>
      <w:r>
        <w:t>the</w:t>
      </w:r>
      <w:proofErr w:type="gramEnd"/>
      <w:r>
        <w:t xml:space="preserve"> United States concludes that there is a need to address the survivability in the near term.</w:t>
      </w:r>
    </w:p>
    <w:sectPr w:rsidR="000A1BAC" w:rsidRPr="00C86A06">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1A8" w:rsidRDefault="00CB51A8" w:rsidP="009311C9">
      <w:pPr>
        <w:spacing w:after="0" w:line="240" w:lineRule="auto"/>
      </w:pPr>
      <w:r>
        <w:separator/>
      </w:r>
    </w:p>
  </w:endnote>
  <w:endnote w:type="continuationSeparator" w:id="0">
    <w:p w:rsidR="00CB51A8" w:rsidRDefault="00CB51A8" w:rsidP="00931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ArialM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1A8" w:rsidRDefault="00CB51A8" w:rsidP="009311C9">
      <w:pPr>
        <w:spacing w:after="0" w:line="240" w:lineRule="auto"/>
      </w:pPr>
      <w:r>
        <w:separator/>
      </w:r>
    </w:p>
  </w:footnote>
  <w:footnote w:type="continuationSeparator" w:id="0">
    <w:p w:rsidR="00CB51A8" w:rsidRDefault="00CB51A8" w:rsidP="009311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1C9" w:rsidRPr="009311C9" w:rsidRDefault="00F51AFA" w:rsidP="00BF710B">
    <w:pPr>
      <w:pStyle w:val="Header"/>
      <w:jc w:val="right"/>
      <w:rPr>
        <w:sz w:val="24"/>
        <w:szCs w:val="24"/>
        <w:lang w:val="nl-NL"/>
      </w:rPr>
    </w:pPr>
    <w:r>
      <w:rPr>
        <w:sz w:val="24"/>
        <w:szCs w:val="24"/>
        <w:lang w:val="nl-NL"/>
      </w:rPr>
      <w:t>EEP21</w:t>
    </w:r>
    <w:r w:rsidR="00BF710B">
      <w:rPr>
        <w:sz w:val="24"/>
        <w:szCs w:val="24"/>
        <w:lang w:val="nl-NL"/>
      </w:rPr>
      <w:t>-4.3.4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22F7"/>
    <w:multiLevelType w:val="hybridMultilevel"/>
    <w:tmpl w:val="37728D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3954C9"/>
    <w:multiLevelType w:val="hybridMultilevel"/>
    <w:tmpl w:val="E86E7C3E"/>
    <w:lvl w:ilvl="0" w:tplc="08090001">
      <w:start w:val="1"/>
      <w:numFmt w:val="bullet"/>
      <w:lvlText w:val=""/>
      <w:lvlJc w:val="left"/>
      <w:pPr>
        <w:ind w:left="781" w:hanging="360"/>
      </w:pPr>
      <w:rPr>
        <w:rFonts w:ascii="Symbol" w:hAnsi="Symbol" w:hint="default"/>
      </w:rPr>
    </w:lvl>
    <w:lvl w:ilvl="1" w:tplc="08090003" w:tentative="1">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
    <w:nsid w:val="43D75706"/>
    <w:multiLevelType w:val="hybridMultilevel"/>
    <w:tmpl w:val="B540C9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69E441E"/>
    <w:multiLevelType w:val="hybridMultilevel"/>
    <w:tmpl w:val="0E506F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24F41AE"/>
    <w:multiLevelType w:val="hybridMultilevel"/>
    <w:tmpl w:val="C38C5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DE2"/>
    <w:rsid w:val="0000030C"/>
    <w:rsid w:val="00000B50"/>
    <w:rsid w:val="000172AC"/>
    <w:rsid w:val="000201DD"/>
    <w:rsid w:val="000223D7"/>
    <w:rsid w:val="00025D39"/>
    <w:rsid w:val="00032DE2"/>
    <w:rsid w:val="0003330D"/>
    <w:rsid w:val="0003691A"/>
    <w:rsid w:val="00041D74"/>
    <w:rsid w:val="00044DC8"/>
    <w:rsid w:val="0004604D"/>
    <w:rsid w:val="00054B33"/>
    <w:rsid w:val="000561A9"/>
    <w:rsid w:val="00056B34"/>
    <w:rsid w:val="00061471"/>
    <w:rsid w:val="00066601"/>
    <w:rsid w:val="00067428"/>
    <w:rsid w:val="000735EB"/>
    <w:rsid w:val="00075A9F"/>
    <w:rsid w:val="00076496"/>
    <w:rsid w:val="000764E1"/>
    <w:rsid w:val="00080D10"/>
    <w:rsid w:val="000841F8"/>
    <w:rsid w:val="0008499D"/>
    <w:rsid w:val="000A0327"/>
    <w:rsid w:val="000A1BAC"/>
    <w:rsid w:val="000A3738"/>
    <w:rsid w:val="000A44DE"/>
    <w:rsid w:val="000A7CD0"/>
    <w:rsid w:val="000C10A5"/>
    <w:rsid w:val="000D3003"/>
    <w:rsid w:val="000D6D8A"/>
    <w:rsid w:val="000E1153"/>
    <w:rsid w:val="000E2A9D"/>
    <w:rsid w:val="000E5144"/>
    <w:rsid w:val="000F22D8"/>
    <w:rsid w:val="00101322"/>
    <w:rsid w:val="00104CE3"/>
    <w:rsid w:val="00106D27"/>
    <w:rsid w:val="00111C9E"/>
    <w:rsid w:val="00112CC7"/>
    <w:rsid w:val="0011692D"/>
    <w:rsid w:val="00116C0F"/>
    <w:rsid w:val="00120250"/>
    <w:rsid w:val="001249E6"/>
    <w:rsid w:val="00132E37"/>
    <w:rsid w:val="00134AF6"/>
    <w:rsid w:val="00137357"/>
    <w:rsid w:val="00137A40"/>
    <w:rsid w:val="00140976"/>
    <w:rsid w:val="00145018"/>
    <w:rsid w:val="00161D72"/>
    <w:rsid w:val="00163762"/>
    <w:rsid w:val="0016456C"/>
    <w:rsid w:val="00174E93"/>
    <w:rsid w:val="00176AB0"/>
    <w:rsid w:val="00180161"/>
    <w:rsid w:val="001855FF"/>
    <w:rsid w:val="00186702"/>
    <w:rsid w:val="001A007E"/>
    <w:rsid w:val="001A078A"/>
    <w:rsid w:val="001A411D"/>
    <w:rsid w:val="001A6A55"/>
    <w:rsid w:val="001B1CDF"/>
    <w:rsid w:val="001C240F"/>
    <w:rsid w:val="001C5479"/>
    <w:rsid w:val="001C5C74"/>
    <w:rsid w:val="001C78CC"/>
    <w:rsid w:val="001D11E8"/>
    <w:rsid w:val="001E4450"/>
    <w:rsid w:val="001E6CF3"/>
    <w:rsid w:val="001F54E4"/>
    <w:rsid w:val="001F5A09"/>
    <w:rsid w:val="0020566D"/>
    <w:rsid w:val="00211641"/>
    <w:rsid w:val="00213391"/>
    <w:rsid w:val="00213402"/>
    <w:rsid w:val="0021763A"/>
    <w:rsid w:val="00225999"/>
    <w:rsid w:val="00225A17"/>
    <w:rsid w:val="002426DD"/>
    <w:rsid w:val="0024640F"/>
    <w:rsid w:val="00257266"/>
    <w:rsid w:val="00265B4D"/>
    <w:rsid w:val="0027200C"/>
    <w:rsid w:val="002916CA"/>
    <w:rsid w:val="002A2336"/>
    <w:rsid w:val="002A3430"/>
    <w:rsid w:val="002A723B"/>
    <w:rsid w:val="002B0E38"/>
    <w:rsid w:val="002B0FFD"/>
    <w:rsid w:val="002B1195"/>
    <w:rsid w:val="002B1AE2"/>
    <w:rsid w:val="002B23FF"/>
    <w:rsid w:val="002B3455"/>
    <w:rsid w:val="002B47AF"/>
    <w:rsid w:val="002B7EF0"/>
    <w:rsid w:val="002C0F11"/>
    <w:rsid w:val="002C2254"/>
    <w:rsid w:val="002C3682"/>
    <w:rsid w:val="002C3C79"/>
    <w:rsid w:val="002C7419"/>
    <w:rsid w:val="002E05E3"/>
    <w:rsid w:val="002E3B4B"/>
    <w:rsid w:val="002E471F"/>
    <w:rsid w:val="002F5BC0"/>
    <w:rsid w:val="00300085"/>
    <w:rsid w:val="00300FE3"/>
    <w:rsid w:val="00306FB2"/>
    <w:rsid w:val="003163A7"/>
    <w:rsid w:val="00323431"/>
    <w:rsid w:val="00323997"/>
    <w:rsid w:val="0032555A"/>
    <w:rsid w:val="00332517"/>
    <w:rsid w:val="003327E6"/>
    <w:rsid w:val="003349F6"/>
    <w:rsid w:val="00334E93"/>
    <w:rsid w:val="00340FE0"/>
    <w:rsid w:val="00341E9B"/>
    <w:rsid w:val="00342F80"/>
    <w:rsid w:val="00345730"/>
    <w:rsid w:val="00351D4D"/>
    <w:rsid w:val="003604A7"/>
    <w:rsid w:val="003615BA"/>
    <w:rsid w:val="00362D68"/>
    <w:rsid w:val="00366A8B"/>
    <w:rsid w:val="00367528"/>
    <w:rsid w:val="00372CBB"/>
    <w:rsid w:val="00373FEA"/>
    <w:rsid w:val="003810E8"/>
    <w:rsid w:val="00386F3C"/>
    <w:rsid w:val="00387BE7"/>
    <w:rsid w:val="00390739"/>
    <w:rsid w:val="00391870"/>
    <w:rsid w:val="00395FA2"/>
    <w:rsid w:val="003A2E8D"/>
    <w:rsid w:val="003B1899"/>
    <w:rsid w:val="003B2A46"/>
    <w:rsid w:val="003B41AE"/>
    <w:rsid w:val="003B53CD"/>
    <w:rsid w:val="003B64B5"/>
    <w:rsid w:val="003B68C9"/>
    <w:rsid w:val="003B6A8C"/>
    <w:rsid w:val="003B6BCF"/>
    <w:rsid w:val="003C399E"/>
    <w:rsid w:val="003C5F18"/>
    <w:rsid w:val="003C65D0"/>
    <w:rsid w:val="003D0367"/>
    <w:rsid w:val="003D144C"/>
    <w:rsid w:val="003E2457"/>
    <w:rsid w:val="003E2D19"/>
    <w:rsid w:val="003E2FCE"/>
    <w:rsid w:val="003E33A4"/>
    <w:rsid w:val="003E424E"/>
    <w:rsid w:val="003F598C"/>
    <w:rsid w:val="003F6380"/>
    <w:rsid w:val="003F6A12"/>
    <w:rsid w:val="004014B2"/>
    <w:rsid w:val="00401671"/>
    <w:rsid w:val="004030AF"/>
    <w:rsid w:val="00403753"/>
    <w:rsid w:val="004056E3"/>
    <w:rsid w:val="00412B42"/>
    <w:rsid w:val="004166D6"/>
    <w:rsid w:val="0042050B"/>
    <w:rsid w:val="00421578"/>
    <w:rsid w:val="0042337D"/>
    <w:rsid w:val="00424F8A"/>
    <w:rsid w:val="00426214"/>
    <w:rsid w:val="00427323"/>
    <w:rsid w:val="00427BB7"/>
    <w:rsid w:val="00433160"/>
    <w:rsid w:val="00436E31"/>
    <w:rsid w:val="0044059D"/>
    <w:rsid w:val="004406EB"/>
    <w:rsid w:val="00440A10"/>
    <w:rsid w:val="004431D4"/>
    <w:rsid w:val="00454F90"/>
    <w:rsid w:val="00456B92"/>
    <w:rsid w:val="0045724D"/>
    <w:rsid w:val="0046347A"/>
    <w:rsid w:val="00466629"/>
    <w:rsid w:val="004666FD"/>
    <w:rsid w:val="00467D31"/>
    <w:rsid w:val="0047266D"/>
    <w:rsid w:val="00474D6A"/>
    <w:rsid w:val="004827D8"/>
    <w:rsid w:val="00490552"/>
    <w:rsid w:val="0049221B"/>
    <w:rsid w:val="00493144"/>
    <w:rsid w:val="00494FC7"/>
    <w:rsid w:val="004A1078"/>
    <w:rsid w:val="004B013E"/>
    <w:rsid w:val="004B4375"/>
    <w:rsid w:val="004B699B"/>
    <w:rsid w:val="004B7310"/>
    <w:rsid w:val="004C3216"/>
    <w:rsid w:val="004C735C"/>
    <w:rsid w:val="004D0E08"/>
    <w:rsid w:val="004D7CC3"/>
    <w:rsid w:val="004E2111"/>
    <w:rsid w:val="004E7232"/>
    <w:rsid w:val="004E73D0"/>
    <w:rsid w:val="004E7774"/>
    <w:rsid w:val="004F4FF4"/>
    <w:rsid w:val="004F6772"/>
    <w:rsid w:val="00501DD6"/>
    <w:rsid w:val="00501E40"/>
    <w:rsid w:val="00504C62"/>
    <w:rsid w:val="0051047C"/>
    <w:rsid w:val="00511703"/>
    <w:rsid w:val="00515B56"/>
    <w:rsid w:val="0051796A"/>
    <w:rsid w:val="00524113"/>
    <w:rsid w:val="00537EE2"/>
    <w:rsid w:val="00541B15"/>
    <w:rsid w:val="00541E07"/>
    <w:rsid w:val="00544710"/>
    <w:rsid w:val="00547EFF"/>
    <w:rsid w:val="005502CD"/>
    <w:rsid w:val="0055258E"/>
    <w:rsid w:val="0055464E"/>
    <w:rsid w:val="005614AB"/>
    <w:rsid w:val="00563485"/>
    <w:rsid w:val="00566AA0"/>
    <w:rsid w:val="0057057D"/>
    <w:rsid w:val="0057210E"/>
    <w:rsid w:val="0057785B"/>
    <w:rsid w:val="0057799B"/>
    <w:rsid w:val="005847FF"/>
    <w:rsid w:val="00584D60"/>
    <w:rsid w:val="00594290"/>
    <w:rsid w:val="005953DE"/>
    <w:rsid w:val="0059700B"/>
    <w:rsid w:val="005979AC"/>
    <w:rsid w:val="005A4CFA"/>
    <w:rsid w:val="005B2766"/>
    <w:rsid w:val="005C6DE4"/>
    <w:rsid w:val="005D21DA"/>
    <w:rsid w:val="005D7DC7"/>
    <w:rsid w:val="005E04B9"/>
    <w:rsid w:val="005E254A"/>
    <w:rsid w:val="005E5366"/>
    <w:rsid w:val="005E7788"/>
    <w:rsid w:val="005F1F3A"/>
    <w:rsid w:val="006023D4"/>
    <w:rsid w:val="00603EFE"/>
    <w:rsid w:val="00605EE9"/>
    <w:rsid w:val="00611596"/>
    <w:rsid w:val="0061244F"/>
    <w:rsid w:val="00617742"/>
    <w:rsid w:val="0062339B"/>
    <w:rsid w:val="00623850"/>
    <w:rsid w:val="00625BCB"/>
    <w:rsid w:val="00626B41"/>
    <w:rsid w:val="0063393D"/>
    <w:rsid w:val="00633DC1"/>
    <w:rsid w:val="006364A4"/>
    <w:rsid w:val="006377A8"/>
    <w:rsid w:val="00653C49"/>
    <w:rsid w:val="00654AC9"/>
    <w:rsid w:val="006552F3"/>
    <w:rsid w:val="00656A95"/>
    <w:rsid w:val="00667E7F"/>
    <w:rsid w:val="0067268D"/>
    <w:rsid w:val="00672B79"/>
    <w:rsid w:val="006823C8"/>
    <w:rsid w:val="006834C5"/>
    <w:rsid w:val="006909D2"/>
    <w:rsid w:val="00691878"/>
    <w:rsid w:val="00693A34"/>
    <w:rsid w:val="00694BC1"/>
    <w:rsid w:val="006A2B8E"/>
    <w:rsid w:val="006A5490"/>
    <w:rsid w:val="006A56C5"/>
    <w:rsid w:val="006A60AA"/>
    <w:rsid w:val="006B1595"/>
    <w:rsid w:val="006B3420"/>
    <w:rsid w:val="006B6574"/>
    <w:rsid w:val="006B6B42"/>
    <w:rsid w:val="006B72F9"/>
    <w:rsid w:val="006C0676"/>
    <w:rsid w:val="006C2D5D"/>
    <w:rsid w:val="006D3E61"/>
    <w:rsid w:val="006D4B19"/>
    <w:rsid w:val="006D6452"/>
    <w:rsid w:val="006E567B"/>
    <w:rsid w:val="006E6B09"/>
    <w:rsid w:val="006F3080"/>
    <w:rsid w:val="006F5573"/>
    <w:rsid w:val="006F5A26"/>
    <w:rsid w:val="006F6C2E"/>
    <w:rsid w:val="006F760F"/>
    <w:rsid w:val="00702B25"/>
    <w:rsid w:val="00704AEB"/>
    <w:rsid w:val="007061AE"/>
    <w:rsid w:val="00706560"/>
    <w:rsid w:val="00720BB4"/>
    <w:rsid w:val="00722470"/>
    <w:rsid w:val="007244A5"/>
    <w:rsid w:val="00727188"/>
    <w:rsid w:val="0073251E"/>
    <w:rsid w:val="00733137"/>
    <w:rsid w:val="007408C3"/>
    <w:rsid w:val="007479F0"/>
    <w:rsid w:val="00760761"/>
    <w:rsid w:val="007615DC"/>
    <w:rsid w:val="007628AA"/>
    <w:rsid w:val="007650C4"/>
    <w:rsid w:val="00770124"/>
    <w:rsid w:val="00781DCE"/>
    <w:rsid w:val="007869DF"/>
    <w:rsid w:val="00791217"/>
    <w:rsid w:val="00795EDE"/>
    <w:rsid w:val="007A15D7"/>
    <w:rsid w:val="007A28C7"/>
    <w:rsid w:val="007A4BD2"/>
    <w:rsid w:val="007A6D25"/>
    <w:rsid w:val="007B11AD"/>
    <w:rsid w:val="007B6950"/>
    <w:rsid w:val="007C24EA"/>
    <w:rsid w:val="007C2C4E"/>
    <w:rsid w:val="007C5438"/>
    <w:rsid w:val="007C7BC0"/>
    <w:rsid w:val="007D2807"/>
    <w:rsid w:val="007D4C03"/>
    <w:rsid w:val="007E0EEB"/>
    <w:rsid w:val="007E2424"/>
    <w:rsid w:val="007F3484"/>
    <w:rsid w:val="007F3A2B"/>
    <w:rsid w:val="007F6534"/>
    <w:rsid w:val="008007BD"/>
    <w:rsid w:val="008017F4"/>
    <w:rsid w:val="0080450F"/>
    <w:rsid w:val="008072ED"/>
    <w:rsid w:val="008126EA"/>
    <w:rsid w:val="00812CF1"/>
    <w:rsid w:val="00815D11"/>
    <w:rsid w:val="00816BBD"/>
    <w:rsid w:val="00820466"/>
    <w:rsid w:val="00821B0A"/>
    <w:rsid w:val="00822DB8"/>
    <w:rsid w:val="0082589E"/>
    <w:rsid w:val="008266CA"/>
    <w:rsid w:val="008332EE"/>
    <w:rsid w:val="008408E1"/>
    <w:rsid w:val="0084326D"/>
    <w:rsid w:val="0084429C"/>
    <w:rsid w:val="0084598A"/>
    <w:rsid w:val="00854501"/>
    <w:rsid w:val="0085485C"/>
    <w:rsid w:val="00854A23"/>
    <w:rsid w:val="00863395"/>
    <w:rsid w:val="008643A1"/>
    <w:rsid w:val="00873E8A"/>
    <w:rsid w:val="008759CF"/>
    <w:rsid w:val="008768C5"/>
    <w:rsid w:val="00877641"/>
    <w:rsid w:val="0087788D"/>
    <w:rsid w:val="00880269"/>
    <w:rsid w:val="00882C1A"/>
    <w:rsid w:val="00886568"/>
    <w:rsid w:val="0089531F"/>
    <w:rsid w:val="008A0D90"/>
    <w:rsid w:val="008A321A"/>
    <w:rsid w:val="008A4573"/>
    <w:rsid w:val="008A64D5"/>
    <w:rsid w:val="008B1D36"/>
    <w:rsid w:val="008B28DE"/>
    <w:rsid w:val="008B391B"/>
    <w:rsid w:val="008B4A0D"/>
    <w:rsid w:val="008C0787"/>
    <w:rsid w:val="008C2A9C"/>
    <w:rsid w:val="008C63EA"/>
    <w:rsid w:val="008D0319"/>
    <w:rsid w:val="008D0D0D"/>
    <w:rsid w:val="008D7B0C"/>
    <w:rsid w:val="008E059D"/>
    <w:rsid w:val="008E42C4"/>
    <w:rsid w:val="008E64F3"/>
    <w:rsid w:val="008F30B3"/>
    <w:rsid w:val="008F4BDA"/>
    <w:rsid w:val="00900337"/>
    <w:rsid w:val="00901E35"/>
    <w:rsid w:val="009025B2"/>
    <w:rsid w:val="00906694"/>
    <w:rsid w:val="009112A6"/>
    <w:rsid w:val="009176ED"/>
    <w:rsid w:val="0092097A"/>
    <w:rsid w:val="00921D98"/>
    <w:rsid w:val="0092262C"/>
    <w:rsid w:val="009236BA"/>
    <w:rsid w:val="00923881"/>
    <w:rsid w:val="00930CBD"/>
    <w:rsid w:val="009311C9"/>
    <w:rsid w:val="00933A92"/>
    <w:rsid w:val="00936217"/>
    <w:rsid w:val="00937D28"/>
    <w:rsid w:val="0094708C"/>
    <w:rsid w:val="00947C38"/>
    <w:rsid w:val="00953C0D"/>
    <w:rsid w:val="00954461"/>
    <w:rsid w:val="00957A33"/>
    <w:rsid w:val="0096003A"/>
    <w:rsid w:val="009617CC"/>
    <w:rsid w:val="00962EE7"/>
    <w:rsid w:val="00965920"/>
    <w:rsid w:val="00965C9B"/>
    <w:rsid w:val="009664B8"/>
    <w:rsid w:val="00966729"/>
    <w:rsid w:val="00966B46"/>
    <w:rsid w:val="00970278"/>
    <w:rsid w:val="00972748"/>
    <w:rsid w:val="009759A5"/>
    <w:rsid w:val="00976266"/>
    <w:rsid w:val="009763D7"/>
    <w:rsid w:val="00976C0C"/>
    <w:rsid w:val="00982508"/>
    <w:rsid w:val="009853E9"/>
    <w:rsid w:val="0098541E"/>
    <w:rsid w:val="00997655"/>
    <w:rsid w:val="009A1135"/>
    <w:rsid w:val="009B1BFE"/>
    <w:rsid w:val="009B605D"/>
    <w:rsid w:val="009B6876"/>
    <w:rsid w:val="009C477E"/>
    <w:rsid w:val="009C4FAC"/>
    <w:rsid w:val="009C7B4D"/>
    <w:rsid w:val="009D1486"/>
    <w:rsid w:val="009E3FE3"/>
    <w:rsid w:val="00A046DE"/>
    <w:rsid w:val="00A22476"/>
    <w:rsid w:val="00A27903"/>
    <w:rsid w:val="00A31282"/>
    <w:rsid w:val="00A32463"/>
    <w:rsid w:val="00A36EBF"/>
    <w:rsid w:val="00A4021A"/>
    <w:rsid w:val="00A41DE7"/>
    <w:rsid w:val="00A4481A"/>
    <w:rsid w:val="00A467DD"/>
    <w:rsid w:val="00A4711E"/>
    <w:rsid w:val="00A471AA"/>
    <w:rsid w:val="00A701EC"/>
    <w:rsid w:val="00A71F66"/>
    <w:rsid w:val="00A72609"/>
    <w:rsid w:val="00A80687"/>
    <w:rsid w:val="00A8567B"/>
    <w:rsid w:val="00A85B84"/>
    <w:rsid w:val="00A86679"/>
    <w:rsid w:val="00A87CF8"/>
    <w:rsid w:val="00A94486"/>
    <w:rsid w:val="00AA0904"/>
    <w:rsid w:val="00AA3F10"/>
    <w:rsid w:val="00AB402D"/>
    <w:rsid w:val="00AB74B0"/>
    <w:rsid w:val="00AD08C0"/>
    <w:rsid w:val="00AD0B9C"/>
    <w:rsid w:val="00AD4127"/>
    <w:rsid w:val="00AD4F3A"/>
    <w:rsid w:val="00AE3CAA"/>
    <w:rsid w:val="00AE62EF"/>
    <w:rsid w:val="00AE6A91"/>
    <w:rsid w:val="00AF068F"/>
    <w:rsid w:val="00AF714A"/>
    <w:rsid w:val="00B000B3"/>
    <w:rsid w:val="00B0057F"/>
    <w:rsid w:val="00B03CB1"/>
    <w:rsid w:val="00B07E3E"/>
    <w:rsid w:val="00B11A26"/>
    <w:rsid w:val="00B1295D"/>
    <w:rsid w:val="00B13DCE"/>
    <w:rsid w:val="00B16017"/>
    <w:rsid w:val="00B167BE"/>
    <w:rsid w:val="00B17066"/>
    <w:rsid w:val="00B205DD"/>
    <w:rsid w:val="00B21A8F"/>
    <w:rsid w:val="00B22119"/>
    <w:rsid w:val="00B31A58"/>
    <w:rsid w:val="00B32307"/>
    <w:rsid w:val="00B34E4C"/>
    <w:rsid w:val="00B41662"/>
    <w:rsid w:val="00B41DE2"/>
    <w:rsid w:val="00B423DB"/>
    <w:rsid w:val="00B462C6"/>
    <w:rsid w:val="00B5051D"/>
    <w:rsid w:val="00B55E23"/>
    <w:rsid w:val="00B64239"/>
    <w:rsid w:val="00B6689F"/>
    <w:rsid w:val="00B67D67"/>
    <w:rsid w:val="00B70F2E"/>
    <w:rsid w:val="00B76D6C"/>
    <w:rsid w:val="00B84ABF"/>
    <w:rsid w:val="00B902F2"/>
    <w:rsid w:val="00B95CDA"/>
    <w:rsid w:val="00BA0C0F"/>
    <w:rsid w:val="00BA1351"/>
    <w:rsid w:val="00BA48B6"/>
    <w:rsid w:val="00BA594C"/>
    <w:rsid w:val="00BB622C"/>
    <w:rsid w:val="00BC49E8"/>
    <w:rsid w:val="00BC77A0"/>
    <w:rsid w:val="00BD03BC"/>
    <w:rsid w:val="00BD3088"/>
    <w:rsid w:val="00BD3CBF"/>
    <w:rsid w:val="00BE0663"/>
    <w:rsid w:val="00BE161C"/>
    <w:rsid w:val="00BE16FA"/>
    <w:rsid w:val="00BE1826"/>
    <w:rsid w:val="00BE1CDD"/>
    <w:rsid w:val="00BE2398"/>
    <w:rsid w:val="00BE26C4"/>
    <w:rsid w:val="00BE48E9"/>
    <w:rsid w:val="00BE66A3"/>
    <w:rsid w:val="00BF5D51"/>
    <w:rsid w:val="00BF710B"/>
    <w:rsid w:val="00C038DA"/>
    <w:rsid w:val="00C042AE"/>
    <w:rsid w:val="00C17B9E"/>
    <w:rsid w:val="00C2063A"/>
    <w:rsid w:val="00C22A0F"/>
    <w:rsid w:val="00C24B05"/>
    <w:rsid w:val="00C26C55"/>
    <w:rsid w:val="00C3088F"/>
    <w:rsid w:val="00C34F84"/>
    <w:rsid w:val="00C35BEA"/>
    <w:rsid w:val="00C46D2F"/>
    <w:rsid w:val="00C47A8D"/>
    <w:rsid w:val="00C50540"/>
    <w:rsid w:val="00C52BF9"/>
    <w:rsid w:val="00C5784E"/>
    <w:rsid w:val="00C60096"/>
    <w:rsid w:val="00C616E6"/>
    <w:rsid w:val="00C62AC1"/>
    <w:rsid w:val="00C66668"/>
    <w:rsid w:val="00C7656C"/>
    <w:rsid w:val="00C8308D"/>
    <w:rsid w:val="00C84F4C"/>
    <w:rsid w:val="00C86A06"/>
    <w:rsid w:val="00C86AC9"/>
    <w:rsid w:val="00C9008E"/>
    <w:rsid w:val="00C9677E"/>
    <w:rsid w:val="00C97F3D"/>
    <w:rsid w:val="00CA061D"/>
    <w:rsid w:val="00CA594C"/>
    <w:rsid w:val="00CA62BB"/>
    <w:rsid w:val="00CA71C4"/>
    <w:rsid w:val="00CB4699"/>
    <w:rsid w:val="00CB51A8"/>
    <w:rsid w:val="00CC2098"/>
    <w:rsid w:val="00CC2120"/>
    <w:rsid w:val="00CC430A"/>
    <w:rsid w:val="00CC48DF"/>
    <w:rsid w:val="00CD19AE"/>
    <w:rsid w:val="00CD487D"/>
    <w:rsid w:val="00CD48CF"/>
    <w:rsid w:val="00CF2C47"/>
    <w:rsid w:val="00CF52D2"/>
    <w:rsid w:val="00D02031"/>
    <w:rsid w:val="00D02B15"/>
    <w:rsid w:val="00D0362C"/>
    <w:rsid w:val="00D06CA6"/>
    <w:rsid w:val="00D112F6"/>
    <w:rsid w:val="00D14446"/>
    <w:rsid w:val="00D15065"/>
    <w:rsid w:val="00D22CFD"/>
    <w:rsid w:val="00D2533F"/>
    <w:rsid w:val="00D36C67"/>
    <w:rsid w:val="00D4268C"/>
    <w:rsid w:val="00D53EF9"/>
    <w:rsid w:val="00D55858"/>
    <w:rsid w:val="00D56597"/>
    <w:rsid w:val="00D61881"/>
    <w:rsid w:val="00D65CF7"/>
    <w:rsid w:val="00D675DF"/>
    <w:rsid w:val="00D70D5E"/>
    <w:rsid w:val="00D72BDC"/>
    <w:rsid w:val="00D7652C"/>
    <w:rsid w:val="00D77052"/>
    <w:rsid w:val="00D9309B"/>
    <w:rsid w:val="00D94EE5"/>
    <w:rsid w:val="00D95F69"/>
    <w:rsid w:val="00D964DC"/>
    <w:rsid w:val="00DA15A7"/>
    <w:rsid w:val="00DA24EC"/>
    <w:rsid w:val="00DA3746"/>
    <w:rsid w:val="00DA7856"/>
    <w:rsid w:val="00DB24A7"/>
    <w:rsid w:val="00DB6206"/>
    <w:rsid w:val="00DB7A97"/>
    <w:rsid w:val="00DC0497"/>
    <w:rsid w:val="00DC11F6"/>
    <w:rsid w:val="00DC1DFD"/>
    <w:rsid w:val="00DC4FB8"/>
    <w:rsid w:val="00DD0267"/>
    <w:rsid w:val="00DE0262"/>
    <w:rsid w:val="00DE11BE"/>
    <w:rsid w:val="00DE4FF1"/>
    <w:rsid w:val="00DE7FE0"/>
    <w:rsid w:val="00DF4E5E"/>
    <w:rsid w:val="00E0435E"/>
    <w:rsid w:val="00E1025E"/>
    <w:rsid w:val="00E160A2"/>
    <w:rsid w:val="00E207BE"/>
    <w:rsid w:val="00E216DF"/>
    <w:rsid w:val="00E21DE9"/>
    <w:rsid w:val="00E224A6"/>
    <w:rsid w:val="00E23D99"/>
    <w:rsid w:val="00E33FE8"/>
    <w:rsid w:val="00E34CF5"/>
    <w:rsid w:val="00E37AC0"/>
    <w:rsid w:val="00E41332"/>
    <w:rsid w:val="00E421A0"/>
    <w:rsid w:val="00E43C7F"/>
    <w:rsid w:val="00E44F08"/>
    <w:rsid w:val="00E54362"/>
    <w:rsid w:val="00E55503"/>
    <w:rsid w:val="00E5656A"/>
    <w:rsid w:val="00E643BC"/>
    <w:rsid w:val="00E6761A"/>
    <w:rsid w:val="00E72174"/>
    <w:rsid w:val="00E74CDC"/>
    <w:rsid w:val="00E76AFA"/>
    <w:rsid w:val="00E771F3"/>
    <w:rsid w:val="00E82181"/>
    <w:rsid w:val="00E85076"/>
    <w:rsid w:val="00E87A80"/>
    <w:rsid w:val="00E90588"/>
    <w:rsid w:val="00E905EC"/>
    <w:rsid w:val="00EA20F3"/>
    <w:rsid w:val="00EA570C"/>
    <w:rsid w:val="00EB5EB2"/>
    <w:rsid w:val="00EB67F0"/>
    <w:rsid w:val="00EC428F"/>
    <w:rsid w:val="00EC46A9"/>
    <w:rsid w:val="00EC4D64"/>
    <w:rsid w:val="00EC50BD"/>
    <w:rsid w:val="00EC5BE2"/>
    <w:rsid w:val="00ED07CD"/>
    <w:rsid w:val="00ED17C0"/>
    <w:rsid w:val="00ED6755"/>
    <w:rsid w:val="00EE0B5F"/>
    <w:rsid w:val="00EF0408"/>
    <w:rsid w:val="00EF0E1E"/>
    <w:rsid w:val="00EF258B"/>
    <w:rsid w:val="00EF3AEA"/>
    <w:rsid w:val="00EF654F"/>
    <w:rsid w:val="00EF65FF"/>
    <w:rsid w:val="00F00533"/>
    <w:rsid w:val="00F061D2"/>
    <w:rsid w:val="00F07AF2"/>
    <w:rsid w:val="00F12B6D"/>
    <w:rsid w:val="00F13207"/>
    <w:rsid w:val="00F14D3B"/>
    <w:rsid w:val="00F2069A"/>
    <w:rsid w:val="00F312ED"/>
    <w:rsid w:val="00F36E77"/>
    <w:rsid w:val="00F46E4C"/>
    <w:rsid w:val="00F51AFA"/>
    <w:rsid w:val="00F5301D"/>
    <w:rsid w:val="00F65C30"/>
    <w:rsid w:val="00F65E90"/>
    <w:rsid w:val="00F7054D"/>
    <w:rsid w:val="00F71054"/>
    <w:rsid w:val="00F73081"/>
    <w:rsid w:val="00F76B7E"/>
    <w:rsid w:val="00F837C3"/>
    <w:rsid w:val="00F92C40"/>
    <w:rsid w:val="00F97C4E"/>
    <w:rsid w:val="00FA18E1"/>
    <w:rsid w:val="00FA345E"/>
    <w:rsid w:val="00FA52D7"/>
    <w:rsid w:val="00FA7368"/>
    <w:rsid w:val="00FB2D93"/>
    <w:rsid w:val="00FC1D5A"/>
    <w:rsid w:val="00FD3085"/>
    <w:rsid w:val="00FD4AFA"/>
    <w:rsid w:val="00FD5A5E"/>
    <w:rsid w:val="00FE09C5"/>
    <w:rsid w:val="00FE26C6"/>
    <w:rsid w:val="00FE391A"/>
    <w:rsid w:val="00FF0C14"/>
    <w:rsid w:val="00FF12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EA57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B41DE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1DE2"/>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B41DE2"/>
    <w:rPr>
      <w:color w:val="0000FF"/>
      <w:u w:val="single"/>
    </w:rPr>
  </w:style>
  <w:style w:type="paragraph" w:styleId="NormalWeb">
    <w:name w:val="Normal (Web)"/>
    <w:basedOn w:val="Normal"/>
    <w:uiPriority w:val="99"/>
    <w:semiHidden/>
    <w:unhideWhenUsed/>
    <w:rsid w:val="00B41DE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B41DE2"/>
    <w:rPr>
      <w:b/>
      <w:bCs/>
    </w:rPr>
  </w:style>
  <w:style w:type="paragraph" w:customStyle="1" w:styleId="Default">
    <w:name w:val="Default"/>
    <w:rsid w:val="00E43C7F"/>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C6DE4"/>
    <w:pPr>
      <w:ind w:left="720"/>
      <w:contextualSpacing/>
    </w:pPr>
  </w:style>
  <w:style w:type="character" w:customStyle="1" w:styleId="Heading1Char">
    <w:name w:val="Heading 1 Char"/>
    <w:basedOn w:val="DefaultParagraphFont"/>
    <w:link w:val="Heading1"/>
    <w:uiPriority w:val="9"/>
    <w:rsid w:val="00EA570C"/>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311C9"/>
    <w:pPr>
      <w:tabs>
        <w:tab w:val="center" w:pos="4536"/>
        <w:tab w:val="right" w:pos="9072"/>
      </w:tabs>
      <w:spacing w:after="0" w:line="240" w:lineRule="auto"/>
    </w:pPr>
  </w:style>
  <w:style w:type="character" w:customStyle="1" w:styleId="HeaderChar">
    <w:name w:val="Header Char"/>
    <w:basedOn w:val="DefaultParagraphFont"/>
    <w:link w:val="Header"/>
    <w:uiPriority w:val="99"/>
    <w:rsid w:val="009311C9"/>
  </w:style>
  <w:style w:type="paragraph" w:styleId="Footer">
    <w:name w:val="footer"/>
    <w:basedOn w:val="Normal"/>
    <w:link w:val="FooterChar"/>
    <w:uiPriority w:val="99"/>
    <w:unhideWhenUsed/>
    <w:rsid w:val="009311C9"/>
    <w:pPr>
      <w:tabs>
        <w:tab w:val="center" w:pos="4536"/>
        <w:tab w:val="right" w:pos="9072"/>
      </w:tabs>
      <w:spacing w:after="0" w:line="240" w:lineRule="auto"/>
    </w:pPr>
  </w:style>
  <w:style w:type="character" w:customStyle="1" w:styleId="FooterChar">
    <w:name w:val="Footer Char"/>
    <w:basedOn w:val="DefaultParagraphFont"/>
    <w:link w:val="Footer"/>
    <w:uiPriority w:val="99"/>
    <w:rsid w:val="00931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574671">
      <w:bodyDiv w:val="1"/>
      <w:marLeft w:val="0"/>
      <w:marRight w:val="0"/>
      <w:marTop w:val="0"/>
      <w:marBottom w:val="0"/>
      <w:divBdr>
        <w:top w:val="none" w:sz="0" w:space="0" w:color="auto"/>
        <w:left w:val="none" w:sz="0" w:space="0" w:color="auto"/>
        <w:bottom w:val="none" w:sz="0" w:space="0" w:color="auto"/>
        <w:right w:val="none" w:sz="0" w:space="0" w:color="auto"/>
      </w:divBdr>
      <w:divsChild>
        <w:div w:id="1511219732">
          <w:marLeft w:val="0"/>
          <w:marRight w:val="0"/>
          <w:marTop w:val="0"/>
          <w:marBottom w:val="0"/>
          <w:divBdr>
            <w:top w:val="none" w:sz="0" w:space="0" w:color="auto"/>
            <w:left w:val="none" w:sz="0" w:space="0" w:color="auto"/>
            <w:bottom w:val="none" w:sz="0" w:space="0" w:color="auto"/>
            <w:right w:val="none" w:sz="0" w:space="0" w:color="auto"/>
          </w:divBdr>
          <w:divsChild>
            <w:div w:id="602424013">
              <w:marLeft w:val="0"/>
              <w:marRight w:val="0"/>
              <w:marTop w:val="0"/>
              <w:marBottom w:val="0"/>
              <w:divBdr>
                <w:top w:val="none" w:sz="0" w:space="0" w:color="auto"/>
                <w:left w:val="none" w:sz="0" w:space="0" w:color="auto"/>
                <w:bottom w:val="none" w:sz="0" w:space="0" w:color="auto"/>
                <w:right w:val="none" w:sz="0" w:space="0" w:color="auto"/>
              </w:divBdr>
              <w:divsChild>
                <w:div w:id="1441141829">
                  <w:marLeft w:val="0"/>
                  <w:marRight w:val="0"/>
                  <w:marTop w:val="0"/>
                  <w:marBottom w:val="0"/>
                  <w:divBdr>
                    <w:top w:val="none" w:sz="0" w:space="0" w:color="auto"/>
                    <w:left w:val="none" w:sz="0" w:space="0" w:color="auto"/>
                    <w:bottom w:val="none" w:sz="0" w:space="0" w:color="auto"/>
                    <w:right w:val="none" w:sz="0" w:space="0" w:color="auto"/>
                  </w:divBdr>
                  <w:divsChild>
                    <w:div w:id="1554658660">
                      <w:marLeft w:val="0"/>
                      <w:marRight w:val="0"/>
                      <w:marTop w:val="0"/>
                      <w:marBottom w:val="0"/>
                      <w:divBdr>
                        <w:top w:val="none" w:sz="0" w:space="0" w:color="auto"/>
                        <w:left w:val="none" w:sz="0" w:space="0" w:color="auto"/>
                        <w:bottom w:val="none" w:sz="0" w:space="0" w:color="auto"/>
                        <w:right w:val="none" w:sz="0" w:space="0" w:color="auto"/>
                      </w:divBdr>
                      <w:divsChild>
                        <w:div w:id="916210285">
                          <w:marLeft w:val="0"/>
                          <w:marRight w:val="0"/>
                          <w:marTop w:val="0"/>
                          <w:marBottom w:val="0"/>
                          <w:divBdr>
                            <w:top w:val="none" w:sz="0" w:space="0" w:color="auto"/>
                            <w:left w:val="none" w:sz="0" w:space="0" w:color="auto"/>
                            <w:bottom w:val="none" w:sz="0" w:space="0" w:color="auto"/>
                            <w:right w:val="none" w:sz="0" w:space="0" w:color="auto"/>
                          </w:divBdr>
                          <w:divsChild>
                            <w:div w:id="838616077">
                              <w:marLeft w:val="0"/>
                              <w:marRight w:val="0"/>
                              <w:marTop w:val="0"/>
                              <w:marBottom w:val="0"/>
                              <w:divBdr>
                                <w:top w:val="none" w:sz="0" w:space="0" w:color="auto"/>
                                <w:left w:val="none" w:sz="0" w:space="0" w:color="auto"/>
                                <w:bottom w:val="none" w:sz="0" w:space="0" w:color="auto"/>
                                <w:right w:val="none" w:sz="0" w:space="0" w:color="auto"/>
                              </w:divBdr>
                            </w:div>
                            <w:div w:id="899487006">
                              <w:marLeft w:val="0"/>
                              <w:marRight w:val="0"/>
                              <w:marTop w:val="0"/>
                              <w:marBottom w:val="0"/>
                              <w:divBdr>
                                <w:top w:val="none" w:sz="0" w:space="0" w:color="auto"/>
                                <w:left w:val="none" w:sz="0" w:space="0" w:color="auto"/>
                                <w:bottom w:val="none" w:sz="0" w:space="0" w:color="auto"/>
                                <w:right w:val="none" w:sz="0" w:space="0" w:color="auto"/>
                              </w:divBdr>
                            </w:div>
                            <w:div w:id="1674798442">
                              <w:marLeft w:val="0"/>
                              <w:marRight w:val="0"/>
                              <w:marTop w:val="0"/>
                              <w:marBottom w:val="0"/>
                              <w:divBdr>
                                <w:top w:val="none" w:sz="0" w:space="0" w:color="auto"/>
                                <w:left w:val="none" w:sz="0" w:space="0" w:color="auto"/>
                                <w:bottom w:val="none" w:sz="0" w:space="0" w:color="auto"/>
                                <w:right w:val="none" w:sz="0" w:space="0" w:color="auto"/>
                              </w:divBdr>
                            </w:div>
                            <w:div w:id="246034904">
                              <w:marLeft w:val="0"/>
                              <w:marRight w:val="0"/>
                              <w:marTop w:val="0"/>
                              <w:marBottom w:val="0"/>
                              <w:divBdr>
                                <w:top w:val="none" w:sz="0" w:space="0" w:color="auto"/>
                                <w:left w:val="none" w:sz="0" w:space="0" w:color="auto"/>
                                <w:bottom w:val="none" w:sz="0" w:space="0" w:color="auto"/>
                                <w:right w:val="none" w:sz="0" w:space="0" w:color="auto"/>
                              </w:divBdr>
                              <w:divsChild>
                                <w:div w:id="1267227698">
                                  <w:marLeft w:val="0"/>
                                  <w:marRight w:val="0"/>
                                  <w:marTop w:val="0"/>
                                  <w:marBottom w:val="0"/>
                                  <w:divBdr>
                                    <w:top w:val="none" w:sz="0" w:space="0" w:color="auto"/>
                                    <w:left w:val="none" w:sz="0" w:space="0" w:color="auto"/>
                                    <w:bottom w:val="none" w:sz="0" w:space="0" w:color="auto"/>
                                    <w:right w:val="none" w:sz="0" w:space="0" w:color="auto"/>
                                  </w:divBdr>
                                </w:div>
                                <w:div w:id="526795676">
                                  <w:marLeft w:val="0"/>
                                  <w:marRight w:val="0"/>
                                  <w:marTop w:val="0"/>
                                  <w:marBottom w:val="0"/>
                                  <w:divBdr>
                                    <w:top w:val="none" w:sz="0" w:space="0" w:color="auto"/>
                                    <w:left w:val="none" w:sz="0" w:space="0" w:color="auto"/>
                                    <w:bottom w:val="none" w:sz="0" w:space="0" w:color="auto"/>
                                    <w:right w:val="none" w:sz="0" w:space="0" w:color="auto"/>
                                  </w:divBdr>
                                </w:div>
                                <w:div w:id="1377461376">
                                  <w:marLeft w:val="0"/>
                                  <w:marRight w:val="0"/>
                                  <w:marTop w:val="0"/>
                                  <w:marBottom w:val="0"/>
                                  <w:divBdr>
                                    <w:top w:val="none" w:sz="0" w:space="0" w:color="auto"/>
                                    <w:left w:val="none" w:sz="0" w:space="0" w:color="auto"/>
                                    <w:bottom w:val="none" w:sz="0" w:space="0" w:color="auto"/>
                                    <w:right w:val="none" w:sz="0" w:space="0" w:color="auto"/>
                                  </w:divBdr>
                                </w:div>
                                <w:div w:id="898710379">
                                  <w:marLeft w:val="0"/>
                                  <w:marRight w:val="0"/>
                                  <w:marTop w:val="0"/>
                                  <w:marBottom w:val="0"/>
                                  <w:divBdr>
                                    <w:top w:val="none" w:sz="0" w:space="0" w:color="auto"/>
                                    <w:left w:val="none" w:sz="0" w:space="0" w:color="auto"/>
                                    <w:bottom w:val="none" w:sz="0" w:space="0" w:color="auto"/>
                                    <w:right w:val="none" w:sz="0" w:space="0" w:color="auto"/>
                                  </w:divBdr>
                                </w:div>
                                <w:div w:id="345057455">
                                  <w:marLeft w:val="0"/>
                                  <w:marRight w:val="0"/>
                                  <w:marTop w:val="0"/>
                                  <w:marBottom w:val="0"/>
                                  <w:divBdr>
                                    <w:top w:val="none" w:sz="0" w:space="0" w:color="auto"/>
                                    <w:left w:val="none" w:sz="0" w:space="0" w:color="auto"/>
                                    <w:bottom w:val="none" w:sz="0" w:space="0" w:color="auto"/>
                                    <w:right w:val="none" w:sz="0" w:space="0" w:color="auto"/>
                                  </w:divBdr>
                                </w:div>
                                <w:div w:id="1261722626">
                                  <w:marLeft w:val="0"/>
                                  <w:marRight w:val="0"/>
                                  <w:marTop w:val="0"/>
                                  <w:marBottom w:val="0"/>
                                  <w:divBdr>
                                    <w:top w:val="none" w:sz="0" w:space="0" w:color="auto"/>
                                    <w:left w:val="none" w:sz="0" w:space="0" w:color="auto"/>
                                    <w:bottom w:val="none" w:sz="0" w:space="0" w:color="auto"/>
                                    <w:right w:val="none" w:sz="0" w:space="0" w:color="auto"/>
                                  </w:divBdr>
                                </w:div>
                                <w:div w:id="1453472973">
                                  <w:marLeft w:val="0"/>
                                  <w:marRight w:val="0"/>
                                  <w:marTop w:val="0"/>
                                  <w:marBottom w:val="0"/>
                                  <w:divBdr>
                                    <w:top w:val="none" w:sz="0" w:space="0" w:color="auto"/>
                                    <w:left w:val="none" w:sz="0" w:space="0" w:color="auto"/>
                                    <w:bottom w:val="none" w:sz="0" w:space="0" w:color="auto"/>
                                    <w:right w:val="none" w:sz="0" w:space="0" w:color="auto"/>
                                  </w:divBdr>
                                </w:div>
                                <w:div w:id="760637612">
                                  <w:marLeft w:val="0"/>
                                  <w:marRight w:val="0"/>
                                  <w:marTop w:val="0"/>
                                  <w:marBottom w:val="0"/>
                                  <w:divBdr>
                                    <w:top w:val="none" w:sz="0" w:space="0" w:color="auto"/>
                                    <w:left w:val="none" w:sz="0" w:space="0" w:color="auto"/>
                                    <w:bottom w:val="none" w:sz="0" w:space="0" w:color="auto"/>
                                    <w:right w:val="none" w:sz="0" w:space="0" w:color="auto"/>
                                  </w:divBdr>
                                </w:div>
                                <w:div w:id="832985204">
                                  <w:marLeft w:val="0"/>
                                  <w:marRight w:val="0"/>
                                  <w:marTop w:val="0"/>
                                  <w:marBottom w:val="0"/>
                                  <w:divBdr>
                                    <w:top w:val="none" w:sz="0" w:space="0" w:color="auto"/>
                                    <w:left w:val="none" w:sz="0" w:space="0" w:color="auto"/>
                                    <w:bottom w:val="none" w:sz="0" w:space="0" w:color="auto"/>
                                    <w:right w:val="none" w:sz="0" w:space="0" w:color="auto"/>
                                  </w:divBdr>
                                </w:div>
                                <w:div w:id="2124643759">
                                  <w:marLeft w:val="0"/>
                                  <w:marRight w:val="0"/>
                                  <w:marTop w:val="0"/>
                                  <w:marBottom w:val="0"/>
                                  <w:divBdr>
                                    <w:top w:val="none" w:sz="0" w:space="0" w:color="auto"/>
                                    <w:left w:val="none" w:sz="0" w:space="0" w:color="auto"/>
                                    <w:bottom w:val="none" w:sz="0" w:space="0" w:color="auto"/>
                                    <w:right w:val="none" w:sz="0" w:space="0" w:color="auto"/>
                                  </w:divBdr>
                                </w:div>
                                <w:div w:id="1048534181">
                                  <w:marLeft w:val="0"/>
                                  <w:marRight w:val="0"/>
                                  <w:marTop w:val="0"/>
                                  <w:marBottom w:val="0"/>
                                  <w:divBdr>
                                    <w:top w:val="none" w:sz="0" w:space="0" w:color="auto"/>
                                    <w:left w:val="none" w:sz="0" w:space="0" w:color="auto"/>
                                    <w:bottom w:val="none" w:sz="0" w:space="0" w:color="auto"/>
                                    <w:right w:val="none" w:sz="0" w:space="0" w:color="auto"/>
                                  </w:divBdr>
                                </w:div>
                                <w:div w:id="1187598581">
                                  <w:marLeft w:val="0"/>
                                  <w:marRight w:val="0"/>
                                  <w:marTop w:val="0"/>
                                  <w:marBottom w:val="0"/>
                                  <w:divBdr>
                                    <w:top w:val="none" w:sz="0" w:space="0" w:color="auto"/>
                                    <w:left w:val="none" w:sz="0" w:space="0" w:color="auto"/>
                                    <w:bottom w:val="none" w:sz="0" w:space="0" w:color="auto"/>
                                    <w:right w:val="none" w:sz="0" w:space="0" w:color="auto"/>
                                  </w:divBdr>
                                </w:div>
                                <w:div w:id="1643272778">
                                  <w:marLeft w:val="0"/>
                                  <w:marRight w:val="0"/>
                                  <w:marTop w:val="0"/>
                                  <w:marBottom w:val="0"/>
                                  <w:divBdr>
                                    <w:top w:val="none" w:sz="0" w:space="0" w:color="auto"/>
                                    <w:left w:val="none" w:sz="0" w:space="0" w:color="auto"/>
                                    <w:bottom w:val="none" w:sz="0" w:space="0" w:color="auto"/>
                                    <w:right w:val="none" w:sz="0" w:space="0" w:color="auto"/>
                                  </w:divBdr>
                                </w:div>
                                <w:div w:id="1523207347">
                                  <w:marLeft w:val="0"/>
                                  <w:marRight w:val="0"/>
                                  <w:marTop w:val="0"/>
                                  <w:marBottom w:val="0"/>
                                  <w:divBdr>
                                    <w:top w:val="none" w:sz="0" w:space="0" w:color="auto"/>
                                    <w:left w:val="none" w:sz="0" w:space="0" w:color="auto"/>
                                    <w:bottom w:val="none" w:sz="0" w:space="0" w:color="auto"/>
                                    <w:right w:val="none" w:sz="0" w:space="0" w:color="auto"/>
                                  </w:divBdr>
                                </w:div>
                                <w:div w:id="118570450">
                                  <w:marLeft w:val="0"/>
                                  <w:marRight w:val="0"/>
                                  <w:marTop w:val="0"/>
                                  <w:marBottom w:val="0"/>
                                  <w:divBdr>
                                    <w:top w:val="none" w:sz="0" w:space="0" w:color="auto"/>
                                    <w:left w:val="none" w:sz="0" w:space="0" w:color="auto"/>
                                    <w:bottom w:val="none" w:sz="0" w:space="0" w:color="auto"/>
                                    <w:right w:val="none" w:sz="0" w:space="0" w:color="auto"/>
                                  </w:divBdr>
                                </w:div>
                                <w:div w:id="985669651">
                                  <w:marLeft w:val="0"/>
                                  <w:marRight w:val="0"/>
                                  <w:marTop w:val="0"/>
                                  <w:marBottom w:val="0"/>
                                  <w:divBdr>
                                    <w:top w:val="none" w:sz="0" w:space="0" w:color="auto"/>
                                    <w:left w:val="none" w:sz="0" w:space="0" w:color="auto"/>
                                    <w:bottom w:val="none" w:sz="0" w:space="0" w:color="auto"/>
                                    <w:right w:val="none" w:sz="0" w:space="0" w:color="auto"/>
                                  </w:divBdr>
                                </w:div>
                                <w:div w:id="290402269">
                                  <w:marLeft w:val="0"/>
                                  <w:marRight w:val="0"/>
                                  <w:marTop w:val="0"/>
                                  <w:marBottom w:val="0"/>
                                  <w:divBdr>
                                    <w:top w:val="none" w:sz="0" w:space="0" w:color="auto"/>
                                    <w:left w:val="none" w:sz="0" w:space="0" w:color="auto"/>
                                    <w:bottom w:val="none" w:sz="0" w:space="0" w:color="auto"/>
                                    <w:right w:val="none" w:sz="0" w:space="0" w:color="auto"/>
                                  </w:divBdr>
                                </w:div>
                                <w:div w:id="1259288966">
                                  <w:marLeft w:val="0"/>
                                  <w:marRight w:val="0"/>
                                  <w:marTop w:val="0"/>
                                  <w:marBottom w:val="0"/>
                                  <w:divBdr>
                                    <w:top w:val="none" w:sz="0" w:space="0" w:color="auto"/>
                                    <w:left w:val="none" w:sz="0" w:space="0" w:color="auto"/>
                                    <w:bottom w:val="none" w:sz="0" w:space="0" w:color="auto"/>
                                    <w:right w:val="none" w:sz="0" w:space="0" w:color="auto"/>
                                  </w:divBdr>
                                </w:div>
                                <w:div w:id="1656183510">
                                  <w:marLeft w:val="0"/>
                                  <w:marRight w:val="0"/>
                                  <w:marTop w:val="0"/>
                                  <w:marBottom w:val="0"/>
                                  <w:divBdr>
                                    <w:top w:val="none" w:sz="0" w:space="0" w:color="auto"/>
                                    <w:left w:val="none" w:sz="0" w:space="0" w:color="auto"/>
                                    <w:bottom w:val="none" w:sz="0" w:space="0" w:color="auto"/>
                                    <w:right w:val="none" w:sz="0" w:space="0" w:color="auto"/>
                                  </w:divBdr>
                                </w:div>
                                <w:div w:id="1444418664">
                                  <w:marLeft w:val="0"/>
                                  <w:marRight w:val="0"/>
                                  <w:marTop w:val="0"/>
                                  <w:marBottom w:val="0"/>
                                  <w:divBdr>
                                    <w:top w:val="none" w:sz="0" w:space="0" w:color="auto"/>
                                    <w:left w:val="none" w:sz="0" w:space="0" w:color="auto"/>
                                    <w:bottom w:val="none" w:sz="0" w:space="0" w:color="auto"/>
                                    <w:right w:val="none" w:sz="0" w:space="0" w:color="auto"/>
                                  </w:divBdr>
                                </w:div>
                                <w:div w:id="1780568067">
                                  <w:marLeft w:val="0"/>
                                  <w:marRight w:val="0"/>
                                  <w:marTop w:val="0"/>
                                  <w:marBottom w:val="0"/>
                                  <w:divBdr>
                                    <w:top w:val="none" w:sz="0" w:space="0" w:color="auto"/>
                                    <w:left w:val="none" w:sz="0" w:space="0" w:color="auto"/>
                                    <w:bottom w:val="none" w:sz="0" w:space="0" w:color="auto"/>
                                    <w:right w:val="none" w:sz="0" w:space="0" w:color="auto"/>
                                  </w:divBdr>
                                </w:div>
                                <w:div w:id="854345508">
                                  <w:marLeft w:val="0"/>
                                  <w:marRight w:val="0"/>
                                  <w:marTop w:val="0"/>
                                  <w:marBottom w:val="0"/>
                                  <w:divBdr>
                                    <w:top w:val="none" w:sz="0" w:space="0" w:color="auto"/>
                                    <w:left w:val="none" w:sz="0" w:space="0" w:color="auto"/>
                                    <w:bottom w:val="none" w:sz="0" w:space="0" w:color="auto"/>
                                    <w:right w:val="none" w:sz="0" w:space="0" w:color="auto"/>
                                  </w:divBdr>
                                </w:div>
                                <w:div w:id="1297179798">
                                  <w:marLeft w:val="0"/>
                                  <w:marRight w:val="0"/>
                                  <w:marTop w:val="0"/>
                                  <w:marBottom w:val="0"/>
                                  <w:divBdr>
                                    <w:top w:val="none" w:sz="0" w:space="0" w:color="auto"/>
                                    <w:left w:val="none" w:sz="0" w:space="0" w:color="auto"/>
                                    <w:bottom w:val="none" w:sz="0" w:space="0" w:color="auto"/>
                                    <w:right w:val="none" w:sz="0" w:space="0" w:color="auto"/>
                                  </w:divBdr>
                                </w:div>
                                <w:div w:id="1867794929">
                                  <w:marLeft w:val="0"/>
                                  <w:marRight w:val="0"/>
                                  <w:marTop w:val="0"/>
                                  <w:marBottom w:val="0"/>
                                  <w:divBdr>
                                    <w:top w:val="none" w:sz="0" w:space="0" w:color="auto"/>
                                    <w:left w:val="none" w:sz="0" w:space="0" w:color="auto"/>
                                    <w:bottom w:val="none" w:sz="0" w:space="0" w:color="auto"/>
                                    <w:right w:val="none" w:sz="0" w:space="0" w:color="auto"/>
                                  </w:divBdr>
                                </w:div>
                                <w:div w:id="1141339243">
                                  <w:marLeft w:val="0"/>
                                  <w:marRight w:val="0"/>
                                  <w:marTop w:val="0"/>
                                  <w:marBottom w:val="0"/>
                                  <w:divBdr>
                                    <w:top w:val="none" w:sz="0" w:space="0" w:color="auto"/>
                                    <w:left w:val="none" w:sz="0" w:space="0" w:color="auto"/>
                                    <w:bottom w:val="none" w:sz="0" w:space="0" w:color="auto"/>
                                    <w:right w:val="none" w:sz="0" w:space="0" w:color="auto"/>
                                  </w:divBdr>
                                </w:div>
                                <w:div w:id="1678733941">
                                  <w:marLeft w:val="0"/>
                                  <w:marRight w:val="0"/>
                                  <w:marTop w:val="0"/>
                                  <w:marBottom w:val="0"/>
                                  <w:divBdr>
                                    <w:top w:val="none" w:sz="0" w:space="0" w:color="auto"/>
                                    <w:left w:val="none" w:sz="0" w:space="0" w:color="auto"/>
                                    <w:bottom w:val="none" w:sz="0" w:space="0" w:color="auto"/>
                                    <w:right w:val="none" w:sz="0" w:space="0" w:color="auto"/>
                                  </w:divBdr>
                                </w:div>
                                <w:div w:id="524364802">
                                  <w:marLeft w:val="0"/>
                                  <w:marRight w:val="0"/>
                                  <w:marTop w:val="0"/>
                                  <w:marBottom w:val="0"/>
                                  <w:divBdr>
                                    <w:top w:val="none" w:sz="0" w:space="0" w:color="auto"/>
                                    <w:left w:val="none" w:sz="0" w:space="0" w:color="auto"/>
                                    <w:bottom w:val="none" w:sz="0" w:space="0" w:color="auto"/>
                                    <w:right w:val="none" w:sz="0" w:space="0" w:color="auto"/>
                                  </w:divBdr>
                                </w:div>
                                <w:div w:id="1524512285">
                                  <w:marLeft w:val="0"/>
                                  <w:marRight w:val="0"/>
                                  <w:marTop w:val="0"/>
                                  <w:marBottom w:val="0"/>
                                  <w:divBdr>
                                    <w:top w:val="none" w:sz="0" w:space="0" w:color="auto"/>
                                    <w:left w:val="none" w:sz="0" w:space="0" w:color="auto"/>
                                    <w:bottom w:val="none" w:sz="0" w:space="0" w:color="auto"/>
                                    <w:right w:val="none" w:sz="0" w:space="0" w:color="auto"/>
                                  </w:divBdr>
                                </w:div>
                                <w:div w:id="356084736">
                                  <w:marLeft w:val="0"/>
                                  <w:marRight w:val="0"/>
                                  <w:marTop w:val="0"/>
                                  <w:marBottom w:val="0"/>
                                  <w:divBdr>
                                    <w:top w:val="none" w:sz="0" w:space="0" w:color="auto"/>
                                    <w:left w:val="none" w:sz="0" w:space="0" w:color="auto"/>
                                    <w:bottom w:val="none" w:sz="0" w:space="0" w:color="auto"/>
                                    <w:right w:val="none" w:sz="0" w:space="0" w:color="auto"/>
                                  </w:divBdr>
                                </w:div>
                                <w:div w:id="1402945811">
                                  <w:marLeft w:val="0"/>
                                  <w:marRight w:val="0"/>
                                  <w:marTop w:val="0"/>
                                  <w:marBottom w:val="0"/>
                                  <w:divBdr>
                                    <w:top w:val="none" w:sz="0" w:space="0" w:color="auto"/>
                                    <w:left w:val="none" w:sz="0" w:space="0" w:color="auto"/>
                                    <w:bottom w:val="none" w:sz="0" w:space="0" w:color="auto"/>
                                    <w:right w:val="none" w:sz="0" w:space="0" w:color="auto"/>
                                  </w:divBdr>
                                </w:div>
                                <w:div w:id="101266383">
                                  <w:marLeft w:val="0"/>
                                  <w:marRight w:val="0"/>
                                  <w:marTop w:val="0"/>
                                  <w:marBottom w:val="0"/>
                                  <w:divBdr>
                                    <w:top w:val="none" w:sz="0" w:space="0" w:color="auto"/>
                                    <w:left w:val="none" w:sz="0" w:space="0" w:color="auto"/>
                                    <w:bottom w:val="none" w:sz="0" w:space="0" w:color="auto"/>
                                    <w:right w:val="none" w:sz="0" w:space="0" w:color="auto"/>
                                  </w:divBdr>
                                </w:div>
                                <w:div w:id="888808563">
                                  <w:marLeft w:val="0"/>
                                  <w:marRight w:val="0"/>
                                  <w:marTop w:val="0"/>
                                  <w:marBottom w:val="0"/>
                                  <w:divBdr>
                                    <w:top w:val="none" w:sz="0" w:space="0" w:color="auto"/>
                                    <w:left w:val="none" w:sz="0" w:space="0" w:color="auto"/>
                                    <w:bottom w:val="none" w:sz="0" w:space="0" w:color="auto"/>
                                    <w:right w:val="none" w:sz="0" w:space="0" w:color="auto"/>
                                  </w:divBdr>
                                </w:div>
                                <w:div w:id="1467117708">
                                  <w:marLeft w:val="0"/>
                                  <w:marRight w:val="0"/>
                                  <w:marTop w:val="0"/>
                                  <w:marBottom w:val="0"/>
                                  <w:divBdr>
                                    <w:top w:val="none" w:sz="0" w:space="0" w:color="auto"/>
                                    <w:left w:val="none" w:sz="0" w:space="0" w:color="auto"/>
                                    <w:bottom w:val="none" w:sz="0" w:space="0" w:color="auto"/>
                                    <w:right w:val="none" w:sz="0" w:space="0" w:color="auto"/>
                                  </w:divBdr>
                                </w:div>
                                <w:div w:id="1306860078">
                                  <w:marLeft w:val="0"/>
                                  <w:marRight w:val="0"/>
                                  <w:marTop w:val="0"/>
                                  <w:marBottom w:val="0"/>
                                  <w:divBdr>
                                    <w:top w:val="none" w:sz="0" w:space="0" w:color="auto"/>
                                    <w:left w:val="none" w:sz="0" w:space="0" w:color="auto"/>
                                    <w:bottom w:val="none" w:sz="0" w:space="0" w:color="auto"/>
                                    <w:right w:val="none" w:sz="0" w:space="0" w:color="auto"/>
                                  </w:divBdr>
                                </w:div>
                                <w:div w:id="1858159252">
                                  <w:marLeft w:val="0"/>
                                  <w:marRight w:val="0"/>
                                  <w:marTop w:val="0"/>
                                  <w:marBottom w:val="0"/>
                                  <w:divBdr>
                                    <w:top w:val="none" w:sz="0" w:space="0" w:color="auto"/>
                                    <w:left w:val="none" w:sz="0" w:space="0" w:color="auto"/>
                                    <w:bottom w:val="none" w:sz="0" w:space="0" w:color="auto"/>
                                    <w:right w:val="none" w:sz="0" w:space="0" w:color="auto"/>
                                  </w:divBdr>
                                </w:div>
                                <w:div w:id="1044527621">
                                  <w:marLeft w:val="0"/>
                                  <w:marRight w:val="0"/>
                                  <w:marTop w:val="0"/>
                                  <w:marBottom w:val="0"/>
                                  <w:divBdr>
                                    <w:top w:val="none" w:sz="0" w:space="0" w:color="auto"/>
                                    <w:left w:val="none" w:sz="0" w:space="0" w:color="auto"/>
                                    <w:bottom w:val="none" w:sz="0" w:space="0" w:color="auto"/>
                                    <w:right w:val="none" w:sz="0" w:space="0" w:color="auto"/>
                                  </w:divBdr>
                                </w:div>
                                <w:div w:id="1482310127">
                                  <w:marLeft w:val="0"/>
                                  <w:marRight w:val="0"/>
                                  <w:marTop w:val="0"/>
                                  <w:marBottom w:val="0"/>
                                  <w:divBdr>
                                    <w:top w:val="none" w:sz="0" w:space="0" w:color="auto"/>
                                    <w:left w:val="none" w:sz="0" w:space="0" w:color="auto"/>
                                    <w:bottom w:val="none" w:sz="0" w:space="0" w:color="auto"/>
                                    <w:right w:val="none" w:sz="0" w:space="0" w:color="auto"/>
                                  </w:divBdr>
                                </w:div>
                                <w:div w:id="169681612">
                                  <w:marLeft w:val="0"/>
                                  <w:marRight w:val="0"/>
                                  <w:marTop w:val="0"/>
                                  <w:marBottom w:val="0"/>
                                  <w:divBdr>
                                    <w:top w:val="none" w:sz="0" w:space="0" w:color="auto"/>
                                    <w:left w:val="none" w:sz="0" w:space="0" w:color="auto"/>
                                    <w:bottom w:val="none" w:sz="0" w:space="0" w:color="auto"/>
                                    <w:right w:val="none" w:sz="0" w:space="0" w:color="auto"/>
                                  </w:divBdr>
                                </w:div>
                                <w:div w:id="1867254533">
                                  <w:marLeft w:val="0"/>
                                  <w:marRight w:val="0"/>
                                  <w:marTop w:val="0"/>
                                  <w:marBottom w:val="0"/>
                                  <w:divBdr>
                                    <w:top w:val="none" w:sz="0" w:space="0" w:color="auto"/>
                                    <w:left w:val="none" w:sz="0" w:space="0" w:color="auto"/>
                                    <w:bottom w:val="none" w:sz="0" w:space="0" w:color="auto"/>
                                    <w:right w:val="none" w:sz="0" w:space="0" w:color="auto"/>
                                  </w:divBdr>
                                </w:div>
                                <w:div w:id="1113595755">
                                  <w:marLeft w:val="0"/>
                                  <w:marRight w:val="0"/>
                                  <w:marTop w:val="0"/>
                                  <w:marBottom w:val="0"/>
                                  <w:divBdr>
                                    <w:top w:val="none" w:sz="0" w:space="0" w:color="auto"/>
                                    <w:left w:val="none" w:sz="0" w:space="0" w:color="auto"/>
                                    <w:bottom w:val="none" w:sz="0" w:space="0" w:color="auto"/>
                                    <w:right w:val="none" w:sz="0" w:space="0" w:color="auto"/>
                                  </w:divBdr>
                                </w:div>
                                <w:div w:id="1708604593">
                                  <w:marLeft w:val="0"/>
                                  <w:marRight w:val="0"/>
                                  <w:marTop w:val="0"/>
                                  <w:marBottom w:val="0"/>
                                  <w:divBdr>
                                    <w:top w:val="none" w:sz="0" w:space="0" w:color="auto"/>
                                    <w:left w:val="none" w:sz="0" w:space="0" w:color="auto"/>
                                    <w:bottom w:val="none" w:sz="0" w:space="0" w:color="auto"/>
                                    <w:right w:val="none" w:sz="0" w:space="0" w:color="auto"/>
                                  </w:divBdr>
                                </w:div>
                                <w:div w:id="1783039420">
                                  <w:marLeft w:val="0"/>
                                  <w:marRight w:val="0"/>
                                  <w:marTop w:val="0"/>
                                  <w:marBottom w:val="0"/>
                                  <w:divBdr>
                                    <w:top w:val="none" w:sz="0" w:space="0" w:color="auto"/>
                                    <w:left w:val="none" w:sz="0" w:space="0" w:color="auto"/>
                                    <w:bottom w:val="none" w:sz="0" w:space="0" w:color="auto"/>
                                    <w:right w:val="none" w:sz="0" w:space="0" w:color="auto"/>
                                  </w:divBdr>
                                </w:div>
                                <w:div w:id="4208837">
                                  <w:marLeft w:val="0"/>
                                  <w:marRight w:val="0"/>
                                  <w:marTop w:val="0"/>
                                  <w:marBottom w:val="0"/>
                                  <w:divBdr>
                                    <w:top w:val="none" w:sz="0" w:space="0" w:color="auto"/>
                                    <w:left w:val="none" w:sz="0" w:space="0" w:color="auto"/>
                                    <w:bottom w:val="none" w:sz="0" w:space="0" w:color="auto"/>
                                    <w:right w:val="none" w:sz="0" w:space="0" w:color="auto"/>
                                  </w:divBdr>
                                </w:div>
                                <w:div w:id="28578128">
                                  <w:marLeft w:val="0"/>
                                  <w:marRight w:val="0"/>
                                  <w:marTop w:val="0"/>
                                  <w:marBottom w:val="0"/>
                                  <w:divBdr>
                                    <w:top w:val="none" w:sz="0" w:space="0" w:color="auto"/>
                                    <w:left w:val="none" w:sz="0" w:space="0" w:color="auto"/>
                                    <w:bottom w:val="none" w:sz="0" w:space="0" w:color="auto"/>
                                    <w:right w:val="none" w:sz="0" w:space="0" w:color="auto"/>
                                  </w:divBdr>
                                </w:div>
                                <w:div w:id="882862391">
                                  <w:marLeft w:val="0"/>
                                  <w:marRight w:val="0"/>
                                  <w:marTop w:val="0"/>
                                  <w:marBottom w:val="0"/>
                                  <w:divBdr>
                                    <w:top w:val="none" w:sz="0" w:space="0" w:color="auto"/>
                                    <w:left w:val="none" w:sz="0" w:space="0" w:color="auto"/>
                                    <w:bottom w:val="none" w:sz="0" w:space="0" w:color="auto"/>
                                    <w:right w:val="none" w:sz="0" w:space="0" w:color="auto"/>
                                  </w:divBdr>
                                </w:div>
                                <w:div w:id="351154138">
                                  <w:marLeft w:val="0"/>
                                  <w:marRight w:val="0"/>
                                  <w:marTop w:val="0"/>
                                  <w:marBottom w:val="0"/>
                                  <w:divBdr>
                                    <w:top w:val="none" w:sz="0" w:space="0" w:color="auto"/>
                                    <w:left w:val="none" w:sz="0" w:space="0" w:color="auto"/>
                                    <w:bottom w:val="none" w:sz="0" w:space="0" w:color="auto"/>
                                    <w:right w:val="none" w:sz="0" w:space="0" w:color="auto"/>
                                  </w:divBdr>
                                </w:div>
                                <w:div w:id="1322466627">
                                  <w:marLeft w:val="0"/>
                                  <w:marRight w:val="0"/>
                                  <w:marTop w:val="0"/>
                                  <w:marBottom w:val="0"/>
                                  <w:divBdr>
                                    <w:top w:val="none" w:sz="0" w:space="0" w:color="auto"/>
                                    <w:left w:val="none" w:sz="0" w:space="0" w:color="auto"/>
                                    <w:bottom w:val="none" w:sz="0" w:space="0" w:color="auto"/>
                                    <w:right w:val="none" w:sz="0" w:space="0" w:color="auto"/>
                                  </w:divBdr>
                                </w:div>
                                <w:div w:id="1246722716">
                                  <w:marLeft w:val="0"/>
                                  <w:marRight w:val="0"/>
                                  <w:marTop w:val="0"/>
                                  <w:marBottom w:val="0"/>
                                  <w:divBdr>
                                    <w:top w:val="none" w:sz="0" w:space="0" w:color="auto"/>
                                    <w:left w:val="none" w:sz="0" w:space="0" w:color="auto"/>
                                    <w:bottom w:val="none" w:sz="0" w:space="0" w:color="auto"/>
                                    <w:right w:val="none" w:sz="0" w:space="0" w:color="auto"/>
                                  </w:divBdr>
                                </w:div>
                                <w:div w:id="1725180116">
                                  <w:marLeft w:val="0"/>
                                  <w:marRight w:val="0"/>
                                  <w:marTop w:val="0"/>
                                  <w:marBottom w:val="0"/>
                                  <w:divBdr>
                                    <w:top w:val="none" w:sz="0" w:space="0" w:color="auto"/>
                                    <w:left w:val="none" w:sz="0" w:space="0" w:color="auto"/>
                                    <w:bottom w:val="none" w:sz="0" w:space="0" w:color="auto"/>
                                    <w:right w:val="none" w:sz="0" w:space="0" w:color="auto"/>
                                  </w:divBdr>
                                </w:div>
                                <w:div w:id="1663661982">
                                  <w:marLeft w:val="0"/>
                                  <w:marRight w:val="0"/>
                                  <w:marTop w:val="0"/>
                                  <w:marBottom w:val="0"/>
                                  <w:divBdr>
                                    <w:top w:val="none" w:sz="0" w:space="0" w:color="auto"/>
                                    <w:left w:val="none" w:sz="0" w:space="0" w:color="auto"/>
                                    <w:bottom w:val="none" w:sz="0" w:space="0" w:color="auto"/>
                                    <w:right w:val="none" w:sz="0" w:space="0" w:color="auto"/>
                                  </w:divBdr>
                                </w:div>
                                <w:div w:id="172647992">
                                  <w:marLeft w:val="0"/>
                                  <w:marRight w:val="0"/>
                                  <w:marTop w:val="0"/>
                                  <w:marBottom w:val="0"/>
                                  <w:divBdr>
                                    <w:top w:val="none" w:sz="0" w:space="0" w:color="auto"/>
                                    <w:left w:val="none" w:sz="0" w:space="0" w:color="auto"/>
                                    <w:bottom w:val="none" w:sz="0" w:space="0" w:color="auto"/>
                                    <w:right w:val="none" w:sz="0" w:space="0" w:color="auto"/>
                                  </w:divBdr>
                                </w:div>
                                <w:div w:id="190848094">
                                  <w:marLeft w:val="0"/>
                                  <w:marRight w:val="0"/>
                                  <w:marTop w:val="0"/>
                                  <w:marBottom w:val="0"/>
                                  <w:divBdr>
                                    <w:top w:val="none" w:sz="0" w:space="0" w:color="auto"/>
                                    <w:left w:val="none" w:sz="0" w:space="0" w:color="auto"/>
                                    <w:bottom w:val="none" w:sz="0" w:space="0" w:color="auto"/>
                                    <w:right w:val="none" w:sz="0" w:space="0" w:color="auto"/>
                                  </w:divBdr>
                                </w:div>
                                <w:div w:id="1346666137">
                                  <w:marLeft w:val="0"/>
                                  <w:marRight w:val="0"/>
                                  <w:marTop w:val="0"/>
                                  <w:marBottom w:val="0"/>
                                  <w:divBdr>
                                    <w:top w:val="none" w:sz="0" w:space="0" w:color="auto"/>
                                    <w:left w:val="none" w:sz="0" w:space="0" w:color="auto"/>
                                    <w:bottom w:val="none" w:sz="0" w:space="0" w:color="auto"/>
                                    <w:right w:val="none" w:sz="0" w:space="0" w:color="auto"/>
                                  </w:divBdr>
                                </w:div>
                                <w:div w:id="1763647615">
                                  <w:marLeft w:val="0"/>
                                  <w:marRight w:val="0"/>
                                  <w:marTop w:val="0"/>
                                  <w:marBottom w:val="0"/>
                                  <w:divBdr>
                                    <w:top w:val="none" w:sz="0" w:space="0" w:color="auto"/>
                                    <w:left w:val="none" w:sz="0" w:space="0" w:color="auto"/>
                                    <w:bottom w:val="none" w:sz="0" w:space="0" w:color="auto"/>
                                    <w:right w:val="none" w:sz="0" w:space="0" w:color="auto"/>
                                  </w:divBdr>
                                </w:div>
                                <w:div w:id="870411478">
                                  <w:marLeft w:val="0"/>
                                  <w:marRight w:val="0"/>
                                  <w:marTop w:val="0"/>
                                  <w:marBottom w:val="0"/>
                                  <w:divBdr>
                                    <w:top w:val="none" w:sz="0" w:space="0" w:color="auto"/>
                                    <w:left w:val="none" w:sz="0" w:space="0" w:color="auto"/>
                                    <w:bottom w:val="none" w:sz="0" w:space="0" w:color="auto"/>
                                    <w:right w:val="none" w:sz="0" w:space="0" w:color="auto"/>
                                  </w:divBdr>
                                </w:div>
                                <w:div w:id="1955362935">
                                  <w:marLeft w:val="0"/>
                                  <w:marRight w:val="0"/>
                                  <w:marTop w:val="0"/>
                                  <w:marBottom w:val="0"/>
                                  <w:divBdr>
                                    <w:top w:val="none" w:sz="0" w:space="0" w:color="auto"/>
                                    <w:left w:val="none" w:sz="0" w:space="0" w:color="auto"/>
                                    <w:bottom w:val="none" w:sz="0" w:space="0" w:color="auto"/>
                                    <w:right w:val="none" w:sz="0" w:space="0" w:color="auto"/>
                                  </w:divBdr>
                                </w:div>
                                <w:div w:id="398602719">
                                  <w:marLeft w:val="0"/>
                                  <w:marRight w:val="0"/>
                                  <w:marTop w:val="0"/>
                                  <w:marBottom w:val="0"/>
                                  <w:divBdr>
                                    <w:top w:val="none" w:sz="0" w:space="0" w:color="auto"/>
                                    <w:left w:val="none" w:sz="0" w:space="0" w:color="auto"/>
                                    <w:bottom w:val="none" w:sz="0" w:space="0" w:color="auto"/>
                                    <w:right w:val="none" w:sz="0" w:space="0" w:color="auto"/>
                                  </w:divBdr>
                                </w:div>
                                <w:div w:id="1464075038">
                                  <w:marLeft w:val="0"/>
                                  <w:marRight w:val="0"/>
                                  <w:marTop w:val="0"/>
                                  <w:marBottom w:val="0"/>
                                  <w:divBdr>
                                    <w:top w:val="none" w:sz="0" w:space="0" w:color="auto"/>
                                    <w:left w:val="none" w:sz="0" w:space="0" w:color="auto"/>
                                    <w:bottom w:val="none" w:sz="0" w:space="0" w:color="auto"/>
                                    <w:right w:val="none" w:sz="0" w:space="0" w:color="auto"/>
                                  </w:divBdr>
                                </w:div>
                                <w:div w:id="203953380">
                                  <w:marLeft w:val="0"/>
                                  <w:marRight w:val="0"/>
                                  <w:marTop w:val="0"/>
                                  <w:marBottom w:val="0"/>
                                  <w:divBdr>
                                    <w:top w:val="none" w:sz="0" w:space="0" w:color="auto"/>
                                    <w:left w:val="none" w:sz="0" w:space="0" w:color="auto"/>
                                    <w:bottom w:val="none" w:sz="0" w:space="0" w:color="auto"/>
                                    <w:right w:val="none" w:sz="0" w:space="0" w:color="auto"/>
                                  </w:divBdr>
                                </w:div>
                                <w:div w:id="15233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AB70F-D7BA-4A04-86DD-500670DB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2185</Words>
  <Characters>12456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D Card</dc:creator>
  <cp:lastModifiedBy>Seamus Doyle</cp:lastModifiedBy>
  <cp:revision>3</cp:revision>
  <dcterms:created xsi:type="dcterms:W3CDTF">2013-09-19T18:51:00Z</dcterms:created>
  <dcterms:modified xsi:type="dcterms:W3CDTF">2013-09-19T19:01:00Z</dcterms:modified>
</cp:coreProperties>
</file>